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86" w:rsidRPr="009C7C86" w:rsidRDefault="00C81CFF" w:rsidP="00C81CFF">
      <w:pPr>
        <w:spacing w:before="120"/>
        <w:rPr>
          <w:rFonts w:ascii="Verdana" w:hAnsi="Verdana"/>
          <w:b/>
          <w:bCs/>
          <w:kern w:val="36"/>
          <w:sz w:val="72"/>
          <w:szCs w:val="72"/>
          <w:lang w:val="de-DE"/>
        </w:rPr>
      </w:pPr>
      <w:proofErr w:type="spellStart"/>
      <w:r w:rsidRPr="009C7C86">
        <w:rPr>
          <w:rFonts w:ascii="Verdana" w:hAnsi="Verdana"/>
          <w:b/>
          <w:bCs/>
          <w:kern w:val="36"/>
          <w:sz w:val="72"/>
          <w:szCs w:val="72"/>
          <w:lang w:val="de-DE"/>
        </w:rPr>
        <w:t>Nationaal</w:t>
      </w:r>
      <w:proofErr w:type="spellEnd"/>
      <w:r w:rsidRPr="009C7C86">
        <w:rPr>
          <w:rFonts w:ascii="Verdana" w:hAnsi="Verdana"/>
          <w:b/>
          <w:bCs/>
          <w:kern w:val="36"/>
          <w:sz w:val="72"/>
          <w:szCs w:val="72"/>
          <w:lang w:val="de-DE"/>
        </w:rPr>
        <w:t xml:space="preserve"> Park </w:t>
      </w:r>
      <w:proofErr w:type="spellStart"/>
      <w:r w:rsidRPr="009C7C86">
        <w:rPr>
          <w:rFonts w:ascii="Verdana" w:hAnsi="Verdana"/>
          <w:b/>
          <w:bCs/>
          <w:kern w:val="36"/>
          <w:sz w:val="72"/>
          <w:szCs w:val="72"/>
          <w:lang w:val="de-DE"/>
        </w:rPr>
        <w:t>Jasmund</w:t>
      </w:r>
      <w:proofErr w:type="spellEnd"/>
      <w:r w:rsidRPr="009C7C86">
        <w:rPr>
          <w:rFonts w:ascii="Verdana" w:hAnsi="Verdana"/>
          <w:b/>
          <w:bCs/>
          <w:kern w:val="36"/>
          <w:sz w:val="72"/>
          <w:szCs w:val="72"/>
          <w:lang w:val="de-DE"/>
        </w:rPr>
        <w:t xml:space="preserve">  </w:t>
      </w:r>
    </w:p>
    <w:p w:rsidR="00C81CFF" w:rsidRPr="009C7C86" w:rsidRDefault="00E507E5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noProof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277495</wp:posOffset>
            </wp:positionV>
            <wp:extent cx="3331210" cy="1399540"/>
            <wp:effectExtent l="0" t="0" r="0" b="0"/>
            <wp:wrapSquare wrapText="bothSides"/>
            <wp:docPr id="16" name="Afbeelding 16" descr="http://www.duitsverkeersbureau.nl/images/content/pic_nationalpark_jasmund_1_rdax_350x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jasmund_1_rdax_350x14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FF" w:rsidRPr="009C7C86">
        <w:rPr>
          <w:rFonts w:ascii="Verdana" w:hAnsi="Verdana"/>
          <w:sz w:val="24"/>
          <w:szCs w:val="24"/>
          <w:lang w:val="de-DE"/>
        </w:rPr>
        <w:t xml:space="preserve">Hier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staan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klein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oppervlak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meest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uiteenlopende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landschapsvormen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te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wachten: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krijtlandschap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moerassen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vochtige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weilanden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droog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grasland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bekendste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punt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wereldberoemde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krijtrotsen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rondom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'Königsstuhl' (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Koningsstoel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), die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reeds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beroemde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schilder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Caspar David Friedrich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doek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heeft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vastgelegd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horen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bovendien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13e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eeuw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daterende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rode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beuken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Stubnitzplateau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voornamelijk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krijt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opgebouwde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hoogvlakte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die in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ijstijd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ontstaan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>.</w:t>
      </w:r>
    </w:p>
    <w:p w:rsidR="00C81CFF" w:rsidRPr="009C7C86" w:rsidRDefault="00E507E5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noProof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303530</wp:posOffset>
            </wp:positionV>
            <wp:extent cx="1427480" cy="1129030"/>
            <wp:effectExtent l="0" t="0" r="0" b="0"/>
            <wp:wrapSquare wrapText="bothSides"/>
            <wp:docPr id="17" name="Afbeelding 17" descr="Kreidefelsen an der Steilkueste im Nationalpark Jasmund, Copyright Joachim Messerschmid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reidefelsen an der Steilkueste im Nationalpark Jasmund, Copyright Joachim Messerschmidt 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Behalve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de Königsstuhl, de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hoogste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rots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krijtkust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is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name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de </w:t>
      </w:r>
      <w:smartTag w:uri="urn:schemas-microsoft-com:office:smarttags" w:element="metricconverter">
        <w:smartTagPr>
          <w:attr w:name="ProductID" w:val="10 km"/>
        </w:smartTagPr>
        <w:r w:rsidR="00C81CFF" w:rsidRPr="009C7C86">
          <w:rPr>
            <w:rFonts w:ascii="Verdana" w:hAnsi="Verdana"/>
            <w:sz w:val="24"/>
            <w:szCs w:val="24"/>
            <w:lang w:val="de-DE"/>
          </w:rPr>
          <w:t>10 km</w:t>
        </w:r>
      </w:smartTag>
      <w:r w:rsidR="00C81CFF" w:rsidRPr="009C7C86">
        <w:rPr>
          <w:rFonts w:ascii="Verdana" w:hAnsi="Verdana"/>
          <w:sz w:val="24"/>
          <w:szCs w:val="24"/>
          <w:lang w:val="de-DE"/>
        </w:rPr>
        <w:t xml:space="preserve"> lange en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sommige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plekken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zelfs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smartTag w:uri="urn:schemas-microsoft-com:office:smarttags" w:element="metricconverter">
        <w:smartTagPr>
          <w:attr w:name="ProductID" w:val="117 m"/>
        </w:smartTagPr>
        <w:r w:rsidR="00C81CFF" w:rsidRPr="009C7C86">
          <w:rPr>
            <w:rFonts w:ascii="Verdana" w:hAnsi="Verdana"/>
            <w:sz w:val="24"/>
            <w:szCs w:val="24"/>
            <w:lang w:val="de-DE"/>
          </w:rPr>
          <w:t>117 m</w:t>
        </w:r>
      </w:smartTag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hoge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krijtkust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z'n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actieve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inactieve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kliffen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die de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dynamiek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steile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kust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aanschouwelijk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maken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heel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81CFF" w:rsidRPr="009C7C86">
        <w:rPr>
          <w:rFonts w:ascii="Verdana" w:hAnsi="Verdana"/>
          <w:sz w:val="24"/>
          <w:szCs w:val="24"/>
          <w:lang w:val="de-DE"/>
        </w:rPr>
        <w:t>indrukwekkend</w:t>
      </w:r>
      <w:proofErr w:type="spellEnd"/>
      <w:r w:rsidR="00C81CFF"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sz w:val="24"/>
          <w:szCs w:val="24"/>
          <w:lang w:val="de-DE"/>
        </w:rPr>
        <w:t xml:space="preserve">De steile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kust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karakteristiek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kenmerk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streek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'geologische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ontsluiting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' van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Noord-Duitsland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sz w:val="24"/>
          <w:szCs w:val="24"/>
          <w:lang w:val="de-DE"/>
        </w:rPr>
        <w:t xml:space="preserve">Hier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vinden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oplettende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strandwandelaars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behalve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wit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schrijfkrijt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nu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afzettingsgesteente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fossielen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ijstijd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uitgebreid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aanbod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aan wandel-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fietspaden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excursies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seminars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stelt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u in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gelegenheid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sprookjesachtig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mooie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boslandschap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verkennen.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sz w:val="24"/>
          <w:szCs w:val="24"/>
          <w:lang w:val="de-DE"/>
        </w:rPr>
        <w:t xml:space="preserve">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veelsoortige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dieren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plantenwereld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omvat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o.a.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zeldzame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zeearend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huiszwaluwen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die in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krijtrotsen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broedplaats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hebben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>.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gebied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Stubnitz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niet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alleen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vanwege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betoverend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mooie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krijtlandschap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bezoek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waard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sz w:val="24"/>
          <w:szCs w:val="24"/>
          <w:lang w:val="de-DE"/>
        </w:rPr>
        <w:t xml:space="preserve">Hier wandelt u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tegelijkertijd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voetspoor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figuren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sagenwereld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, die in verband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staan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deze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streek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Tijdens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rondleidingen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die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regelmatig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bestuur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nationale park worden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georganiseerd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komt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u van alles aan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weet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over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Germaanse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godin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Hertha of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geheimzinnige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piraat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Störtebeker die –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zegt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–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deze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plaats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schat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heeft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begraven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>.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bezoek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aan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jachtslot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Granitz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ten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zuiden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Binz of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rit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stoom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aangedreven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eilandtreintje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razende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Roland'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vormt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aansporing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veel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meer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culturele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bezienswaardigheden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speuren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>.</w:t>
      </w:r>
      <w:r w:rsidRPr="009C7C86">
        <w:rPr>
          <w:rFonts w:ascii="Verdana" w:hAnsi="Verdana"/>
          <w:sz w:val="24"/>
          <w:szCs w:val="24"/>
          <w:lang w:val="de-DE"/>
        </w:rPr>
        <w:br/>
      </w:r>
      <w:bookmarkStart w:id="0" w:name="_GoBack"/>
      <w:bookmarkEnd w:id="0"/>
    </w:p>
    <w:p w:rsidR="00C81CFF" w:rsidRPr="009C7C86" w:rsidRDefault="00C81CFF" w:rsidP="00C81CFF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9C7C86">
        <w:rPr>
          <w:rFonts w:ascii="Verdana" w:hAnsi="Verdana"/>
          <w:b/>
          <w:bCs/>
          <w:sz w:val="24"/>
          <w:szCs w:val="24"/>
          <w:lang w:val="de-DE"/>
        </w:rPr>
        <w:lastRenderedPageBreak/>
        <w:t>Highlights:</w:t>
      </w:r>
      <w:r w:rsidRPr="009C7C86">
        <w:rPr>
          <w:rFonts w:ascii="Verdana" w:hAnsi="Verdana"/>
          <w:b/>
          <w:sz w:val="24"/>
          <w:szCs w:val="24"/>
          <w:lang w:val="de-DE"/>
        </w:rPr>
        <w:t xml:space="preserve">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Kaap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Arkona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plaatsje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Vitt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Vissershaven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Sassnitz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visserijmuseum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sz w:val="24"/>
          <w:szCs w:val="24"/>
          <w:lang w:val="de-DE"/>
        </w:rPr>
        <w:t>'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Piratenkloof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' 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Sassnitz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Stadsmuseum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Greifswald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Caspar David Friedrich-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tentoonstelling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9C7C86">
        <w:rPr>
          <w:rFonts w:ascii="Verdana" w:hAnsi="Verdana"/>
          <w:sz w:val="24"/>
          <w:szCs w:val="24"/>
          <w:lang w:val="de-DE"/>
        </w:rPr>
        <w:t xml:space="preserve">Historische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ambachtskamers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in Gingst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Grümbke-uitkijktoren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Neuenkirchen</w:t>
      </w:r>
    </w:p>
    <w:p w:rsidR="00C81CFF" w:rsidRPr="009C7C86" w:rsidRDefault="00C81CFF" w:rsidP="00C81CFF">
      <w:pPr>
        <w:spacing w:before="120"/>
        <w:rPr>
          <w:rFonts w:ascii="Verdana" w:hAnsi="Verdana"/>
          <w:b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b/>
          <w:bCs/>
          <w:sz w:val="24"/>
          <w:szCs w:val="24"/>
          <w:lang w:val="de-DE"/>
        </w:rPr>
        <w:t>Activiteiten</w:t>
      </w:r>
      <w:proofErr w:type="spellEnd"/>
      <w:r w:rsidRPr="009C7C86">
        <w:rPr>
          <w:rFonts w:ascii="Verdana" w:hAnsi="Verdana"/>
          <w:b/>
          <w:bCs/>
          <w:sz w:val="24"/>
          <w:szCs w:val="24"/>
          <w:lang w:val="de-DE"/>
        </w:rPr>
        <w:t>: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uitgebreid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aanbod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aan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rondleidingen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: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dagelijks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april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t/m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september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vanaf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parkeerterrein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Hagen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Königsstuhl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vanaf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Sassnitz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krijtrotsformatie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Wissower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Klinken'.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Tentoonstellingen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bezoekerscentrum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de Königsstuhl en 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jachtslot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Granitz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Sellin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Jasmund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C81CFF" w:rsidRPr="009C7C86" w:rsidRDefault="00C81CFF" w:rsidP="00C81CF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9C7C86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meer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wandel- en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fietstochten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alsmede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excursies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worden er in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biosfeerreservaat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 'Südost Rügen' </w:t>
      </w:r>
      <w:proofErr w:type="spellStart"/>
      <w:r w:rsidRPr="009C7C86">
        <w:rPr>
          <w:rFonts w:ascii="Verdana" w:hAnsi="Verdana"/>
          <w:sz w:val="24"/>
          <w:szCs w:val="24"/>
          <w:lang w:val="de-DE"/>
        </w:rPr>
        <w:t>georganiseerd</w:t>
      </w:r>
      <w:proofErr w:type="spellEnd"/>
      <w:r w:rsidRPr="009C7C86">
        <w:rPr>
          <w:rFonts w:ascii="Verdana" w:hAnsi="Verdana"/>
          <w:sz w:val="24"/>
          <w:szCs w:val="24"/>
          <w:lang w:val="de-DE"/>
        </w:rPr>
        <w:t xml:space="preserve">. </w:t>
      </w:r>
    </w:p>
    <w:p w:rsidR="0059171C" w:rsidRPr="009C7C86" w:rsidRDefault="0059171C" w:rsidP="00C81CFF">
      <w:pPr>
        <w:spacing w:before="120"/>
        <w:rPr>
          <w:rFonts w:ascii="Verdana" w:hAnsi="Verdana"/>
          <w:sz w:val="24"/>
          <w:lang w:val="nl-NL"/>
        </w:rPr>
      </w:pPr>
    </w:p>
    <w:sectPr w:rsidR="0059171C" w:rsidRPr="009C7C86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AC" w:rsidRDefault="00B30AAC">
      <w:r>
        <w:separator/>
      </w:r>
    </w:p>
  </w:endnote>
  <w:endnote w:type="continuationSeparator" w:id="0">
    <w:p w:rsidR="00B30AAC" w:rsidRDefault="00B3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507E5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AC" w:rsidRDefault="00B30AAC">
      <w:r>
        <w:separator/>
      </w:r>
    </w:p>
  </w:footnote>
  <w:footnote w:type="continuationSeparator" w:id="0">
    <w:p w:rsidR="00B30AAC" w:rsidRDefault="00B30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507E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8B0023"/>
    <w:multiLevelType w:val="multilevel"/>
    <w:tmpl w:val="DC5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231190"/>
    <w:multiLevelType w:val="hybridMultilevel"/>
    <w:tmpl w:val="007CDB24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45389C"/>
    <w:multiLevelType w:val="multilevel"/>
    <w:tmpl w:val="FB3C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864C47"/>
    <w:rsid w:val="009B5DDF"/>
    <w:rsid w:val="009C7C86"/>
    <w:rsid w:val="00A120DF"/>
    <w:rsid w:val="00A53DE8"/>
    <w:rsid w:val="00A950C2"/>
    <w:rsid w:val="00AA1C98"/>
    <w:rsid w:val="00B029CC"/>
    <w:rsid w:val="00B24D69"/>
    <w:rsid w:val="00B30AAC"/>
    <w:rsid w:val="00B84DAB"/>
    <w:rsid w:val="00C81CFF"/>
    <w:rsid w:val="00D33B82"/>
    <w:rsid w:val="00D7248F"/>
    <w:rsid w:val="00DB1C6A"/>
    <w:rsid w:val="00DB7D84"/>
    <w:rsid w:val="00DC3A4A"/>
    <w:rsid w:val="00E507E5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EECCEC-BBDE-4180-B639-051D98B4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C81C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Zwaar">
    <w:name w:val="Strong"/>
    <w:basedOn w:val="Standaardalinea-lettertype"/>
    <w:qFormat/>
    <w:rsid w:val="00C81CFF"/>
    <w:rPr>
      <w:b/>
      <w:bCs/>
    </w:rPr>
  </w:style>
  <w:style w:type="character" w:styleId="Hyperlink">
    <w:name w:val="Hyperlink"/>
    <w:basedOn w:val="Standaardalinea-lettertype"/>
    <w:rsid w:val="00C8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35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jasmund_1_rdax_350x147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jasmund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Jasmund  = www</vt:lpstr>
    </vt:vector>
  </TitlesOfParts>
  <Company>BusTic.nl</Company>
  <LinksUpToDate>false</LinksUpToDate>
  <CharactersWithSpaces>2796</CharactersWithSpaces>
  <SharedDoc>false</SharedDoc>
  <HLinks>
    <vt:vector size="12" baseType="variant">
      <vt:variant>
        <vt:i4>2097165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http://www.duitsverkeersbureau.nl/images/content/pic_nationalpark_jasmund_1_rdax_350x147.jpg</vt:lpwstr>
      </vt:variant>
      <vt:variant>
        <vt:lpwstr/>
      </vt:variant>
      <vt:variant>
        <vt:i4>3473423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http://www.duitsverkeersbureau.nl/images/content/pic_nationalpark_jasmund_2.jpg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Jasmund  = www</dc:title>
  <dc:subject/>
  <dc:creator>Jan Verschoor chauffeur</dc:creator>
  <cp:keywords/>
  <dc:description/>
  <cp:lastModifiedBy>Hendrik Berends</cp:lastModifiedBy>
  <cp:revision>2</cp:revision>
  <cp:lastPrinted>2013-05-29T08:57:00Z</cp:lastPrinted>
  <dcterms:created xsi:type="dcterms:W3CDTF">2013-05-29T08:57:00Z</dcterms:created>
  <dcterms:modified xsi:type="dcterms:W3CDTF">2013-05-29T08:57:00Z</dcterms:modified>
</cp:coreProperties>
</file>