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33C" w:rsidRDefault="007A2B79" w:rsidP="009F5333">
      <w:pPr>
        <w:keepLines/>
        <w:jc w:val="center"/>
        <w:rPr>
          <w:rFonts w:ascii="Verdana" w:hAnsi="Verdana"/>
          <w:b/>
          <w:bCs/>
          <w:sz w:val="96"/>
          <w:szCs w:val="96"/>
          <w:lang w:val="pl-PL"/>
        </w:rPr>
      </w:pPr>
      <w:r w:rsidRPr="00055982">
        <w:rPr>
          <w:rFonts w:ascii="Verdana" w:hAnsi="Verdana"/>
          <w:b/>
          <w:bCs/>
          <w:sz w:val="96"/>
          <w:szCs w:val="96"/>
          <w:lang w:val="pl-PL"/>
        </w:rPr>
        <w:t xml:space="preserve">Autosnelweg </w:t>
      </w:r>
      <w:r w:rsidR="007C2E5D" w:rsidRPr="00055982">
        <w:rPr>
          <w:rFonts w:ascii="Verdana" w:hAnsi="Verdana"/>
          <w:b/>
          <w:bCs/>
          <w:sz w:val="96"/>
          <w:szCs w:val="96"/>
          <w:lang w:val="pl-PL"/>
        </w:rPr>
        <w:t>S</w:t>
      </w:r>
      <w:r w:rsidR="00B07C92" w:rsidRPr="00055982">
        <w:rPr>
          <w:rFonts w:ascii="Verdana" w:hAnsi="Verdana"/>
          <w:b/>
          <w:bCs/>
          <w:sz w:val="96"/>
          <w:szCs w:val="96"/>
          <w:lang w:val="pl-PL"/>
        </w:rPr>
        <w:t>22</w:t>
      </w:r>
    </w:p>
    <w:p w:rsidR="009F5333" w:rsidRDefault="009F5333" w:rsidP="009F5333">
      <w:pPr>
        <w:keepLines/>
        <w:jc w:val="center"/>
        <w:rPr>
          <w:rFonts w:ascii="Verdana" w:hAnsi="Verdana"/>
          <w:b/>
          <w:bCs/>
          <w:sz w:val="72"/>
          <w:szCs w:val="72"/>
          <w:lang w:val="pl-PL"/>
        </w:rPr>
      </w:pPr>
    </w:p>
    <w:p w:rsidR="009F5333" w:rsidRDefault="009F5333" w:rsidP="009F5333">
      <w:pPr>
        <w:keepLines/>
        <w:jc w:val="center"/>
        <w:rPr>
          <w:rFonts w:ascii="Verdana" w:hAnsi="Verdana"/>
          <w:b/>
          <w:bCs/>
          <w:sz w:val="72"/>
          <w:szCs w:val="72"/>
          <w:lang w:val="pl-PL"/>
        </w:rPr>
      </w:pPr>
      <w:r>
        <w:rPr>
          <w:rFonts w:ascii="Verdana" w:hAnsi="Verdana"/>
          <w:b/>
          <w:bCs/>
          <w:noProof/>
          <w:sz w:val="72"/>
          <w:szCs w:val="72"/>
          <w:lang w:val="nl-NL"/>
        </w:rPr>
        <w:drawing>
          <wp:inline distT="0" distB="0" distL="0" distR="0">
            <wp:extent cx="4732496" cy="5301337"/>
            <wp:effectExtent l="95250" t="76200" r="106680" b="157607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olen S22 overzicht Bustic.nl 2016.jpg"/>
                    <pic:cNvPicPr/>
                  </pic:nvPicPr>
                  <pic:blipFill>
                    <a:blip r:embed="rId7">
                      <a:extLst>
                        <a:ext uri="{28A0092B-C50C-407E-A947-70E740481C1C}">
                          <a14:useLocalDpi xmlns:a14="http://schemas.microsoft.com/office/drawing/2010/main" val="0"/>
                        </a:ext>
                      </a:extLst>
                    </a:blip>
                    <a:stretch>
                      <a:fillRect/>
                    </a:stretch>
                  </pic:blipFill>
                  <pic:spPr>
                    <a:xfrm>
                      <a:off x="0" y="0"/>
                      <a:ext cx="4748330" cy="5319074"/>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7A2B79" w:rsidRPr="00055982" w:rsidRDefault="00B07C92" w:rsidP="009F5333">
      <w:pPr>
        <w:keepLines/>
        <w:jc w:val="center"/>
        <w:rPr>
          <w:rFonts w:ascii="Verdana" w:hAnsi="Verdana"/>
          <w:b/>
          <w:bCs/>
          <w:sz w:val="72"/>
          <w:szCs w:val="72"/>
          <w:lang w:val="pl-PL"/>
        </w:rPr>
      </w:pPr>
      <w:r w:rsidRPr="00055982">
        <w:rPr>
          <w:rFonts w:ascii="Verdana" w:hAnsi="Verdana"/>
          <w:b/>
          <w:bCs/>
          <w:sz w:val="72"/>
          <w:szCs w:val="72"/>
          <w:lang w:val="pl-PL"/>
        </w:rPr>
        <w:t>Grzechotki (PL-RUS) - Elbląg</w:t>
      </w:r>
    </w:p>
    <w:p w:rsidR="00B07C92" w:rsidRPr="00055982" w:rsidRDefault="00B07C92" w:rsidP="00B07C92">
      <w:pPr>
        <w:pStyle w:val="BusTic"/>
        <w:rPr>
          <w:lang w:val="pl-PL"/>
        </w:rPr>
      </w:pPr>
      <w:r w:rsidRPr="00055982">
        <w:rPr>
          <w:lang w:val="pl-PL"/>
        </w:rPr>
        <w:lastRenderedPageBreak/>
        <w:t xml:space="preserve">De S22 is een droga ekspresowa in Polen. </w:t>
      </w:r>
    </w:p>
    <w:p w:rsidR="00B07C92" w:rsidRPr="00055982" w:rsidRDefault="00B07C92" w:rsidP="00B07C92">
      <w:pPr>
        <w:pStyle w:val="BusTic"/>
        <w:rPr>
          <w:lang w:val="pl-PL"/>
        </w:rPr>
      </w:pPr>
      <w:r w:rsidRPr="00055982">
        <w:rPr>
          <w:lang w:val="pl-PL"/>
        </w:rPr>
        <w:t xml:space="preserve">De weg vormt een expresweg met één rijbaan vanaf de grens met Rusland bij Grzechotki tot aan de S7 in Elbląg. </w:t>
      </w:r>
    </w:p>
    <w:p w:rsidR="00B07C92" w:rsidRPr="00055982" w:rsidRDefault="00B07C92" w:rsidP="00B07C92">
      <w:pPr>
        <w:pStyle w:val="BusTic"/>
        <w:rPr>
          <w:lang w:val="pl-PL"/>
        </w:rPr>
      </w:pPr>
      <w:r w:rsidRPr="00055982">
        <w:rPr>
          <w:lang w:val="pl-PL"/>
        </w:rPr>
        <w:t xml:space="preserve">De route is 50 kilometer lang. </w:t>
      </w:r>
    </w:p>
    <w:p w:rsidR="00B07C92" w:rsidRPr="00055982" w:rsidRDefault="00B07C92" w:rsidP="00B07C92">
      <w:pPr>
        <w:keepLines/>
        <w:spacing w:before="120" w:after="120"/>
        <w:rPr>
          <w:rFonts w:ascii="Verdana" w:hAnsi="Verdana"/>
          <w:sz w:val="24"/>
          <w:szCs w:val="24"/>
          <w:lang w:val="pl-PL"/>
        </w:rPr>
      </w:pPr>
    </w:p>
    <w:p w:rsidR="00B07C92" w:rsidRPr="00055982" w:rsidRDefault="00B07C92" w:rsidP="00B07C92">
      <w:pPr>
        <w:pStyle w:val="Alinia6"/>
        <w:rPr>
          <w:lang w:val="pl-PL"/>
        </w:rPr>
      </w:pPr>
      <w:r w:rsidRPr="00055982">
        <w:rPr>
          <w:b/>
          <w:lang w:val="pl-PL"/>
        </w:rPr>
        <w:t>Routebeschrijving</w:t>
      </w:r>
    </w:p>
    <w:p w:rsidR="00B07C92" w:rsidRPr="00055982" w:rsidRDefault="00B07C92" w:rsidP="00B07C92">
      <w:pPr>
        <w:pStyle w:val="BusTic"/>
        <w:rPr>
          <w:lang w:val="pl-PL"/>
        </w:rPr>
      </w:pPr>
      <w:r w:rsidRPr="00055982">
        <w:rPr>
          <w:lang w:val="pl-PL"/>
        </w:rPr>
        <w:t xml:space="preserve">Bij het gehucht Grzechotki begint de S22 aan een nieuwe grensovergang met Rusland met de R516. </w:t>
      </w:r>
    </w:p>
    <w:p w:rsidR="00B07C92" w:rsidRPr="00055982" w:rsidRDefault="00B07C92" w:rsidP="00B07C92">
      <w:pPr>
        <w:pStyle w:val="BusTic"/>
        <w:rPr>
          <w:lang w:val="pl-PL"/>
        </w:rPr>
      </w:pPr>
      <w:r w:rsidRPr="00055982">
        <w:rPr>
          <w:lang w:val="pl-PL"/>
        </w:rPr>
        <w:t xml:space="preserve">De oude grensovergang, met de DK54 ligt 12 kilometer westelijker. </w:t>
      </w:r>
    </w:p>
    <w:p w:rsidR="00B07C92" w:rsidRPr="00055982" w:rsidRDefault="00B07C92" w:rsidP="00B07C92">
      <w:pPr>
        <w:pStyle w:val="BusTic"/>
        <w:rPr>
          <w:lang w:val="pl-PL"/>
        </w:rPr>
      </w:pPr>
      <w:r w:rsidRPr="00055982">
        <w:rPr>
          <w:lang w:val="pl-PL"/>
        </w:rPr>
        <w:t xml:space="preserve">De weg loopt dan naar het zuidwesten, door een gebied met bossen en weilanden. </w:t>
      </w:r>
    </w:p>
    <w:p w:rsidR="00B07C92" w:rsidRPr="00055982" w:rsidRDefault="00B07C92" w:rsidP="00B07C92">
      <w:pPr>
        <w:pStyle w:val="BusTic"/>
        <w:rPr>
          <w:lang w:val="pl-PL"/>
        </w:rPr>
      </w:pPr>
      <w:r w:rsidRPr="00055982">
        <w:rPr>
          <w:lang w:val="pl-PL"/>
        </w:rPr>
        <w:t xml:space="preserve">De gehele route telt één rijbaan van een volledige snelweg, en kent dus tegenverkeer. </w:t>
      </w:r>
    </w:p>
    <w:p w:rsidR="00B07C92" w:rsidRPr="00055982" w:rsidRDefault="00B07C92" w:rsidP="00B07C92">
      <w:pPr>
        <w:pStyle w:val="BusTic"/>
        <w:rPr>
          <w:lang w:val="pl-PL"/>
        </w:rPr>
      </w:pPr>
      <w:r w:rsidRPr="00055982">
        <w:rPr>
          <w:lang w:val="pl-PL"/>
        </w:rPr>
        <w:t xml:space="preserve">Alleen de eerste drie kilometer na de grensovergang met Rusland is de weg uitgebouwd als 2+3-strooks autoweg. </w:t>
      </w:r>
    </w:p>
    <w:p w:rsidR="00B07C92" w:rsidRPr="00055982" w:rsidRDefault="00B07C92" w:rsidP="00B07C92">
      <w:pPr>
        <w:pStyle w:val="BusTic"/>
        <w:rPr>
          <w:lang w:val="pl-PL"/>
        </w:rPr>
      </w:pPr>
      <w:r w:rsidRPr="00055982">
        <w:rPr>
          <w:lang w:val="pl-PL"/>
        </w:rPr>
        <w:t xml:space="preserve">Bij de stad Elbląg eindigt de S22 op de S7, de expressweg van Warszawa naar Gdańsk. </w:t>
      </w:r>
    </w:p>
    <w:p w:rsidR="00B07C92" w:rsidRPr="00055982" w:rsidRDefault="00B07C92" w:rsidP="00B07C92">
      <w:pPr>
        <w:keepLines/>
        <w:spacing w:before="120" w:after="120"/>
        <w:rPr>
          <w:rFonts w:ascii="Verdana" w:hAnsi="Verdana"/>
          <w:sz w:val="24"/>
          <w:szCs w:val="24"/>
          <w:lang w:val="pl-PL"/>
        </w:rPr>
      </w:pPr>
    </w:p>
    <w:p w:rsidR="00B07C92" w:rsidRPr="00055982" w:rsidRDefault="00B07C92" w:rsidP="00B07C92">
      <w:pPr>
        <w:pStyle w:val="Alinia6"/>
        <w:rPr>
          <w:lang w:val="pl-PL"/>
        </w:rPr>
      </w:pPr>
      <w:r w:rsidRPr="00055982">
        <w:rPr>
          <w:b/>
          <w:lang w:val="pl-PL"/>
        </w:rPr>
        <w:t>Geschiedenis</w:t>
      </w:r>
    </w:p>
    <w:p w:rsidR="00B07C92" w:rsidRPr="00055982" w:rsidRDefault="00B07C92" w:rsidP="00B07C92">
      <w:pPr>
        <w:pStyle w:val="BusTic"/>
        <w:rPr>
          <w:lang w:val="pl-PL"/>
        </w:rPr>
      </w:pPr>
      <w:r w:rsidRPr="00055982">
        <w:rPr>
          <w:lang w:val="pl-PL"/>
        </w:rPr>
        <w:t xml:space="preserve">De S22 kent een lange geschiedenis. </w:t>
      </w:r>
    </w:p>
    <w:p w:rsidR="00B07C92" w:rsidRPr="00055982" w:rsidRDefault="00B07C92" w:rsidP="00B07C92">
      <w:pPr>
        <w:pStyle w:val="BusTic"/>
        <w:rPr>
          <w:lang w:val="pl-PL"/>
        </w:rPr>
      </w:pPr>
      <w:r w:rsidRPr="00055982">
        <w:rPr>
          <w:lang w:val="pl-PL"/>
        </w:rPr>
        <w:t xml:space="preserve">De weg is in de jaren '30 gebouwd door de Duitsers als een Reichsautobahn, de snelweg van Berlin naar Kaliningrad (toen: Königsberg). </w:t>
      </w:r>
    </w:p>
    <w:p w:rsidR="00B07C92" w:rsidRPr="00055982" w:rsidRDefault="00B07C92" w:rsidP="00B07C92">
      <w:pPr>
        <w:pStyle w:val="BusTic"/>
        <w:rPr>
          <w:lang w:val="pl-PL"/>
        </w:rPr>
      </w:pPr>
      <w:r w:rsidRPr="00055982">
        <w:rPr>
          <w:lang w:val="pl-PL"/>
        </w:rPr>
        <w:t xml:space="preserve">Deze weg zou tezamen met de huidige A6, een gedeelte van de S6 en de DK142 gezamenlijk één snelweg vormen. </w:t>
      </w:r>
    </w:p>
    <w:p w:rsidR="00B07C92" w:rsidRPr="00055982" w:rsidRDefault="00B07C92" w:rsidP="00B07C92">
      <w:pPr>
        <w:pStyle w:val="BusTic"/>
        <w:rPr>
          <w:lang w:val="pl-PL"/>
        </w:rPr>
      </w:pPr>
      <w:r w:rsidRPr="00055982">
        <w:rPr>
          <w:lang w:val="pl-PL"/>
        </w:rPr>
        <w:t xml:space="preserve">Al deze stukken zijn door de Polen dan ook later als Berlinka aangeduid: de snelweg naar Berlijn. </w:t>
      </w:r>
    </w:p>
    <w:p w:rsidR="00B07C92" w:rsidRPr="00055982" w:rsidRDefault="00B07C92" w:rsidP="00B07C92">
      <w:pPr>
        <w:keepLines/>
        <w:spacing w:before="120" w:after="120"/>
        <w:rPr>
          <w:rFonts w:ascii="Verdana" w:hAnsi="Verdana"/>
          <w:sz w:val="24"/>
          <w:szCs w:val="24"/>
          <w:lang w:val="pl-PL"/>
        </w:rPr>
      </w:pPr>
    </w:p>
    <w:p w:rsidR="00B07C92" w:rsidRPr="00055982" w:rsidRDefault="00B07C92" w:rsidP="00B07C92">
      <w:pPr>
        <w:pStyle w:val="BusTic"/>
        <w:rPr>
          <w:lang w:val="pl-PL"/>
        </w:rPr>
      </w:pPr>
      <w:r w:rsidRPr="00055982">
        <w:rPr>
          <w:lang w:val="pl-PL"/>
        </w:rPr>
        <w:t xml:space="preserve">De S22 opende in 1938 met één rijbaan. </w:t>
      </w:r>
    </w:p>
    <w:p w:rsidR="00B07C92" w:rsidRPr="00055982" w:rsidRDefault="00B07C92" w:rsidP="00B07C92">
      <w:pPr>
        <w:pStyle w:val="BusTic"/>
        <w:rPr>
          <w:lang w:val="pl-PL"/>
        </w:rPr>
      </w:pPr>
      <w:r w:rsidRPr="00055982">
        <w:rPr>
          <w:lang w:val="pl-PL"/>
        </w:rPr>
        <w:t xml:space="preserve">In 1945 zijn diverse bruggen en viaducten vernield, waaronder de brug over de Paslek. </w:t>
      </w:r>
    </w:p>
    <w:p w:rsidR="00B07C92" w:rsidRPr="00055982" w:rsidRDefault="00B07C92" w:rsidP="00B07C92">
      <w:pPr>
        <w:pStyle w:val="BusTic"/>
        <w:rPr>
          <w:lang w:val="pl-PL"/>
        </w:rPr>
      </w:pPr>
      <w:r w:rsidRPr="00055982">
        <w:rPr>
          <w:lang w:val="pl-PL"/>
        </w:rPr>
        <w:t xml:space="preserve">Daardoor was de weg noordelijk van de afrit naar Braniewo niet meer te gebruiken. </w:t>
      </w:r>
    </w:p>
    <w:p w:rsidR="00B07C92" w:rsidRPr="00055982" w:rsidRDefault="00B07C92" w:rsidP="00F25C78">
      <w:pPr>
        <w:pStyle w:val="BusTic"/>
        <w:rPr>
          <w:lang w:val="pl-PL"/>
        </w:rPr>
      </w:pPr>
      <w:r w:rsidRPr="00055982">
        <w:rPr>
          <w:lang w:val="pl-PL"/>
        </w:rPr>
        <w:t xml:space="preserve">De grens tussen Polen en de Kaliningrad Oblast was vrijwel gesloten, en één grensovergang tussen Braniewo (PL) en Mamonovo was  voldoende voor het zeer spaarzame wegverkeer. </w:t>
      </w:r>
    </w:p>
    <w:p w:rsidR="00B07C92" w:rsidRPr="00055982" w:rsidRDefault="00B07C92" w:rsidP="00B07C92">
      <w:pPr>
        <w:keepLines/>
        <w:spacing w:before="120" w:after="120"/>
        <w:rPr>
          <w:rFonts w:ascii="Verdana" w:hAnsi="Verdana"/>
          <w:sz w:val="24"/>
          <w:szCs w:val="24"/>
          <w:lang w:val="pl-PL"/>
        </w:rPr>
      </w:pPr>
    </w:p>
    <w:p w:rsidR="00B07C92" w:rsidRPr="00055982" w:rsidRDefault="00B07C92" w:rsidP="00B07C92">
      <w:pPr>
        <w:keepLines/>
        <w:spacing w:before="120" w:after="120"/>
        <w:rPr>
          <w:rFonts w:ascii="Verdana" w:hAnsi="Verdana"/>
          <w:sz w:val="24"/>
          <w:szCs w:val="24"/>
          <w:lang w:val="pl-PL"/>
        </w:rPr>
      </w:pPr>
    </w:p>
    <w:p w:rsidR="00B07C92" w:rsidRPr="00055982" w:rsidRDefault="00B07C92" w:rsidP="00B07C92">
      <w:pPr>
        <w:keepLines/>
        <w:spacing w:before="120" w:after="120"/>
        <w:rPr>
          <w:rFonts w:ascii="Verdana" w:hAnsi="Verdana"/>
          <w:sz w:val="24"/>
          <w:szCs w:val="24"/>
          <w:lang w:val="pl-PL"/>
        </w:rPr>
      </w:pPr>
    </w:p>
    <w:p w:rsidR="00B07C92" w:rsidRPr="00055982" w:rsidRDefault="00B07C92" w:rsidP="00B07C92">
      <w:pPr>
        <w:keepLines/>
        <w:spacing w:before="120" w:after="120"/>
        <w:rPr>
          <w:rFonts w:ascii="Verdana" w:hAnsi="Verdana"/>
          <w:sz w:val="24"/>
          <w:szCs w:val="24"/>
          <w:lang w:val="pl-PL"/>
        </w:rPr>
      </w:pPr>
    </w:p>
    <w:p w:rsidR="00B07C92" w:rsidRDefault="00B07C92" w:rsidP="00B07C92">
      <w:pPr>
        <w:keepLines/>
        <w:spacing w:before="120" w:after="120"/>
        <w:rPr>
          <w:rFonts w:ascii="Verdana" w:hAnsi="Verdana"/>
          <w:sz w:val="24"/>
          <w:szCs w:val="24"/>
          <w:lang w:val="pl-PL"/>
        </w:rPr>
      </w:pPr>
    </w:p>
    <w:p w:rsidR="00055982" w:rsidRPr="00055982" w:rsidRDefault="00055982" w:rsidP="00B07C92">
      <w:pPr>
        <w:keepLines/>
        <w:spacing w:before="120" w:after="120"/>
        <w:rPr>
          <w:rFonts w:ascii="Verdana" w:hAnsi="Verdana"/>
          <w:sz w:val="24"/>
          <w:szCs w:val="24"/>
          <w:lang w:val="pl-PL"/>
        </w:rPr>
      </w:pPr>
    </w:p>
    <w:p w:rsidR="00B07C92" w:rsidRPr="00055982" w:rsidRDefault="00B07C92" w:rsidP="00B07C92">
      <w:pPr>
        <w:pStyle w:val="BusTic"/>
      </w:pPr>
      <w:r w:rsidRPr="00055982">
        <w:lastRenderedPageBreak/>
        <w:t xml:space="preserve">Tussen de vernielde bruggen en de grens met de Sovjet-Unie, waar de weg onderbroken was, lag slechts één aansluiting. </w:t>
      </w:r>
    </w:p>
    <w:p w:rsidR="00B07C92" w:rsidRPr="00055982" w:rsidRDefault="00B07C92" w:rsidP="00B07C92">
      <w:pPr>
        <w:pStyle w:val="BusTic"/>
        <w:rPr>
          <w:lang w:val="pl-PL"/>
        </w:rPr>
      </w:pPr>
      <w:r w:rsidRPr="00055982">
        <w:rPr>
          <w:lang w:val="pl-PL"/>
        </w:rPr>
        <w:t xml:space="preserve">Omdat dit deel van de weg geen functie meer had, werd deze niet opnieuw opgebouwd. </w:t>
      </w:r>
    </w:p>
    <w:p w:rsidR="00B07C92" w:rsidRPr="00055982" w:rsidRDefault="00B07C92" w:rsidP="00B07C92">
      <w:pPr>
        <w:pStyle w:val="BusTic"/>
        <w:rPr>
          <w:lang w:val="pl-PL"/>
        </w:rPr>
      </w:pPr>
      <w:r w:rsidRPr="00055982">
        <w:rPr>
          <w:lang w:val="pl-PL"/>
        </w:rPr>
        <w:t xml:space="preserve">Zuidelijk van Braniewo werd de weg tot Elblag als DW508 toegevoegd aan het Poolse wegennet. </w:t>
      </w:r>
    </w:p>
    <w:p w:rsidR="00B07C92" w:rsidRPr="00055982" w:rsidRDefault="00B07C92" w:rsidP="00B07C92">
      <w:pPr>
        <w:pStyle w:val="BusTic"/>
        <w:rPr>
          <w:lang w:val="pl-PL"/>
        </w:rPr>
      </w:pPr>
      <w:r w:rsidRPr="00055982">
        <w:rPr>
          <w:lang w:val="pl-PL"/>
        </w:rPr>
        <w:t xml:space="preserve">De weg kreeg vrijwel geen onderhoud, echter de viaducten bleven gespaard en de weg behield haar ongelijkvloerse karakter, dit in tegenstelling van het weggedeelte wat in de Kaliningrad Oblast in de Sovjet-Unie kwam te liggen: daar werden alle ook nog intacte viaducten verwijderd. </w:t>
      </w:r>
    </w:p>
    <w:p w:rsidR="00B07C92" w:rsidRPr="00055982" w:rsidRDefault="00B07C92" w:rsidP="00B07C92">
      <w:pPr>
        <w:pStyle w:val="BusTic"/>
        <w:rPr>
          <w:lang w:val="pl-PL"/>
        </w:rPr>
      </w:pPr>
      <w:r w:rsidRPr="00055982">
        <w:rPr>
          <w:lang w:val="pl-PL"/>
        </w:rPr>
        <w:t xml:space="preserve">Na de ineenstorting van de Sovjet-Unie werd de Kaliningrad Oblast een Russische exclave. </w:t>
      </w:r>
    </w:p>
    <w:p w:rsidR="006A2674" w:rsidRPr="00055982" w:rsidRDefault="00B07C92" w:rsidP="00B07C92">
      <w:pPr>
        <w:pStyle w:val="BusTic"/>
        <w:rPr>
          <w:lang w:val="pl-PL"/>
        </w:rPr>
      </w:pPr>
      <w:r w:rsidRPr="00055982">
        <w:rPr>
          <w:lang w:val="pl-PL"/>
        </w:rPr>
        <w:t xml:space="preserve">Later werd de exclave uitgeroepen tot bijzondere economische zone. </w:t>
      </w:r>
    </w:p>
    <w:p w:rsidR="006A2674" w:rsidRPr="00055982" w:rsidRDefault="00B07C92" w:rsidP="00B07C92">
      <w:pPr>
        <w:pStyle w:val="BusTic"/>
        <w:rPr>
          <w:lang w:val="pl-PL"/>
        </w:rPr>
      </w:pPr>
      <w:r w:rsidRPr="00055982">
        <w:rPr>
          <w:lang w:val="pl-PL"/>
        </w:rPr>
        <w:t xml:space="preserve">Gevolg hiervan was dat het grensverkeer via Mamonovo flink toenam en daarmee ook de wachtrijen voor de kleine grensovergang. </w:t>
      </w:r>
    </w:p>
    <w:p w:rsidR="006A2674" w:rsidRPr="00055982" w:rsidRDefault="00B07C92" w:rsidP="00B07C92">
      <w:pPr>
        <w:pStyle w:val="BusTic"/>
        <w:rPr>
          <w:lang w:val="pl-PL"/>
        </w:rPr>
      </w:pPr>
      <w:r w:rsidRPr="00055982">
        <w:rPr>
          <w:lang w:val="pl-PL"/>
        </w:rPr>
        <w:t xml:space="preserve">De hoeveelheid verkeer door Braniewo en Mamonovo steeg flink. </w:t>
      </w:r>
    </w:p>
    <w:p w:rsidR="006A2674" w:rsidRPr="00055982" w:rsidRDefault="00B07C92" w:rsidP="00B07C92">
      <w:pPr>
        <w:pStyle w:val="BusTic"/>
        <w:rPr>
          <w:lang w:val="pl-PL"/>
        </w:rPr>
      </w:pPr>
      <w:r w:rsidRPr="00055982">
        <w:rPr>
          <w:lang w:val="pl-PL"/>
        </w:rPr>
        <w:t xml:space="preserve">Het bestaan van de oude Reichsautobahn was reden dat er een verdrag werd gesloten om een nieuwe grensovergang in deze weg te bouwen voor het internationale verkeer. </w:t>
      </w:r>
    </w:p>
    <w:p w:rsidR="00B07C92" w:rsidRPr="00055982" w:rsidRDefault="00B07C92" w:rsidP="00B07C92">
      <w:pPr>
        <w:pStyle w:val="BusTic"/>
        <w:rPr>
          <w:lang w:val="pl-PL"/>
        </w:rPr>
      </w:pPr>
      <w:r w:rsidRPr="00055982">
        <w:rPr>
          <w:lang w:val="pl-PL"/>
        </w:rPr>
        <w:t xml:space="preserve">In dezelfde periode werd de weg opnieuw ingedeeld, en kreeg het wegnummer 22, als verlenging van de bestaande DK22. </w:t>
      </w:r>
    </w:p>
    <w:p w:rsidR="00B07C92" w:rsidRPr="00055982" w:rsidRDefault="00B07C92" w:rsidP="00B07C92">
      <w:pPr>
        <w:keepLines/>
        <w:spacing w:before="120" w:after="120"/>
        <w:rPr>
          <w:rFonts w:ascii="Verdana" w:hAnsi="Verdana"/>
          <w:sz w:val="24"/>
          <w:szCs w:val="24"/>
          <w:lang w:val="pl-PL"/>
        </w:rPr>
      </w:pPr>
    </w:p>
    <w:p w:rsidR="006A2674" w:rsidRPr="00055982" w:rsidRDefault="00B07C92" w:rsidP="00B07C92">
      <w:pPr>
        <w:pStyle w:val="BusTic"/>
        <w:rPr>
          <w:lang w:val="pl-PL"/>
        </w:rPr>
      </w:pPr>
      <w:r w:rsidRPr="00055982">
        <w:rPr>
          <w:lang w:val="pl-PL"/>
        </w:rPr>
        <w:t xml:space="preserve">Voor het herstelplan van de weg, nu zelfs als S22, kondigde de GDDKiA in 2005 de aanbesteding aan, waarbij de weg in 3 delen werd aanbesteed. </w:t>
      </w:r>
    </w:p>
    <w:p w:rsidR="006A2674" w:rsidRPr="00055982" w:rsidRDefault="00B07C92" w:rsidP="00B07C92">
      <w:pPr>
        <w:pStyle w:val="BusTic"/>
        <w:rPr>
          <w:lang w:val="pl-PL"/>
        </w:rPr>
      </w:pPr>
      <w:r w:rsidRPr="00055982">
        <w:rPr>
          <w:lang w:val="pl-PL"/>
        </w:rPr>
        <w:t xml:space="preserve">In 2006 werden de contracten getekend en op 24 september 2008 was de S22 voltooid als een ongelijkvloerse, enkelbaans </w:t>
      </w:r>
      <w:r w:rsidR="006A2674" w:rsidRPr="00055982">
        <w:rPr>
          <w:lang w:val="pl-PL"/>
        </w:rPr>
        <w:t>expresweg</w:t>
      </w:r>
      <w:r w:rsidRPr="00055982">
        <w:rPr>
          <w:lang w:val="pl-PL"/>
        </w:rPr>
        <w:t xml:space="preserve">. </w:t>
      </w:r>
    </w:p>
    <w:p w:rsidR="006A2674" w:rsidRPr="00055982" w:rsidRDefault="00B07C92" w:rsidP="00B07C92">
      <w:pPr>
        <w:pStyle w:val="BusTic"/>
        <w:rPr>
          <w:lang w:val="pl-PL"/>
        </w:rPr>
      </w:pPr>
      <w:r w:rsidRPr="00055982">
        <w:rPr>
          <w:lang w:val="pl-PL"/>
        </w:rPr>
        <w:t xml:space="preserve">De weg bleef echter eindigen op de grens, omdat aan Russische zijde nog altijd niets was gebeurd. Zelfs een grensemplacement ontbrak. </w:t>
      </w:r>
    </w:p>
    <w:p w:rsidR="00B07C92" w:rsidRPr="00055982" w:rsidRDefault="00B07C92" w:rsidP="00B07C92">
      <w:pPr>
        <w:pStyle w:val="BusTic"/>
        <w:rPr>
          <w:lang w:val="pl-PL"/>
        </w:rPr>
      </w:pPr>
      <w:r w:rsidRPr="00055982">
        <w:rPr>
          <w:lang w:val="pl-PL"/>
        </w:rPr>
        <w:t xml:space="preserve">Pas op 3 december 2010 werd nadat de werkzaamheden in Rusland waren afgerond de grensovergang opengesteld. </w:t>
      </w:r>
    </w:p>
    <w:p w:rsidR="00B07C92" w:rsidRPr="00055982" w:rsidRDefault="00B07C92" w:rsidP="00B07C92">
      <w:pPr>
        <w:keepLines/>
        <w:spacing w:before="120" w:after="120"/>
        <w:rPr>
          <w:rFonts w:ascii="Verdana" w:hAnsi="Verdana"/>
          <w:sz w:val="24"/>
          <w:szCs w:val="24"/>
          <w:lang w:val="pl-PL"/>
        </w:rPr>
      </w:pPr>
    </w:p>
    <w:p w:rsidR="00B07C92" w:rsidRPr="00055982" w:rsidRDefault="00B07C92" w:rsidP="006A2674">
      <w:pPr>
        <w:pStyle w:val="Alinia6"/>
        <w:rPr>
          <w:lang w:val="pl-PL"/>
        </w:rPr>
      </w:pPr>
      <w:r w:rsidRPr="00055982">
        <w:rPr>
          <w:b/>
          <w:lang w:val="pl-PL"/>
        </w:rPr>
        <w:t>Toekomst</w:t>
      </w:r>
    </w:p>
    <w:p w:rsidR="006A2674" w:rsidRPr="00055982" w:rsidRDefault="00B07C92" w:rsidP="00B07C92">
      <w:pPr>
        <w:pStyle w:val="BusTic"/>
        <w:rPr>
          <w:lang w:val="pl-PL"/>
        </w:rPr>
      </w:pPr>
      <w:r w:rsidRPr="00055982">
        <w:rPr>
          <w:lang w:val="pl-PL"/>
        </w:rPr>
        <w:t>Lange-</w:t>
      </w:r>
      <w:r w:rsidR="006A2674" w:rsidRPr="00055982">
        <w:rPr>
          <w:lang w:val="pl-PL"/>
        </w:rPr>
        <w:t>termijnplannen</w:t>
      </w:r>
      <w:r w:rsidRPr="00055982">
        <w:rPr>
          <w:lang w:val="pl-PL"/>
        </w:rPr>
        <w:t xml:space="preserve"> wijzen op een verdere upgrade van de DK22 van Gorzów Wielkopolski naar Elbląg, in dat geval wordt de S22 320 kilometer langer. </w:t>
      </w:r>
    </w:p>
    <w:p w:rsidR="006453EC" w:rsidRPr="00055982" w:rsidRDefault="00B07C92" w:rsidP="00B07C92">
      <w:pPr>
        <w:pStyle w:val="BusTic"/>
        <w:rPr>
          <w:lang w:val="pl-PL"/>
        </w:rPr>
      </w:pPr>
      <w:r w:rsidRPr="00055982">
        <w:rPr>
          <w:lang w:val="pl-PL"/>
        </w:rPr>
        <w:t>Erg concreet zijn deze plannen nog niet.</w:t>
      </w:r>
    </w:p>
    <w:p w:rsidR="006A2674" w:rsidRPr="00055982" w:rsidRDefault="006A2674" w:rsidP="006A2674">
      <w:pPr>
        <w:pStyle w:val="BusTic"/>
        <w:numPr>
          <w:ilvl w:val="0"/>
          <w:numId w:val="0"/>
        </w:numPr>
        <w:ind w:left="284" w:hanging="284"/>
        <w:rPr>
          <w:lang w:val="pl-PL"/>
        </w:rPr>
      </w:pPr>
    </w:p>
    <w:p w:rsidR="006A2674" w:rsidRPr="00055982" w:rsidRDefault="006A2674" w:rsidP="006A2674">
      <w:pPr>
        <w:pStyle w:val="BusTic"/>
        <w:numPr>
          <w:ilvl w:val="0"/>
          <w:numId w:val="0"/>
        </w:numPr>
        <w:ind w:left="284" w:hanging="284"/>
        <w:rPr>
          <w:b/>
          <w:lang w:val="pl-PL"/>
        </w:rPr>
      </w:pPr>
      <w:r w:rsidRPr="00055982">
        <w:rPr>
          <w:b/>
          <w:lang w:val="pl-PL"/>
        </w:rPr>
        <w:t>Begin</w:t>
      </w:r>
      <w:r w:rsidRPr="00055982">
        <w:rPr>
          <w:b/>
          <w:lang w:val="pl-PL"/>
        </w:rPr>
        <w:tab/>
        <w:t>Grzechotki (PL-RUS)</w:t>
      </w:r>
    </w:p>
    <w:p w:rsidR="006A2674" w:rsidRPr="00055982" w:rsidRDefault="006A2674" w:rsidP="006A2674">
      <w:pPr>
        <w:pStyle w:val="BusTic"/>
        <w:numPr>
          <w:ilvl w:val="0"/>
          <w:numId w:val="0"/>
        </w:numPr>
        <w:ind w:left="284" w:hanging="284"/>
        <w:rPr>
          <w:b/>
          <w:lang w:val="pl-PL"/>
        </w:rPr>
      </w:pPr>
      <w:r w:rsidRPr="00055982">
        <w:rPr>
          <w:b/>
          <w:lang w:val="pl-PL"/>
        </w:rPr>
        <w:t>Einde</w:t>
      </w:r>
      <w:r w:rsidRPr="00055982">
        <w:rPr>
          <w:b/>
          <w:lang w:val="pl-PL"/>
        </w:rPr>
        <w:tab/>
        <w:t>Elbląg</w:t>
      </w:r>
    </w:p>
    <w:p w:rsidR="006A2674" w:rsidRPr="00055982" w:rsidRDefault="006A2674" w:rsidP="006A2674">
      <w:pPr>
        <w:pStyle w:val="BusTic"/>
        <w:numPr>
          <w:ilvl w:val="0"/>
          <w:numId w:val="0"/>
        </w:numPr>
        <w:ind w:left="284" w:hanging="284"/>
        <w:rPr>
          <w:b/>
          <w:lang w:val="pl-PL"/>
        </w:rPr>
      </w:pPr>
      <w:r w:rsidRPr="00055982">
        <w:rPr>
          <w:b/>
          <w:lang w:val="pl-PL"/>
        </w:rPr>
        <w:t>Lengte</w:t>
      </w:r>
      <w:r w:rsidRPr="00055982">
        <w:rPr>
          <w:b/>
          <w:lang w:val="pl-PL"/>
        </w:rPr>
        <w:tab/>
        <w:t>50 km</w:t>
      </w:r>
    </w:p>
    <w:p w:rsidR="00762F5A" w:rsidRPr="00055982" w:rsidRDefault="00762F5A" w:rsidP="00B07C92">
      <w:pPr>
        <w:keepLines/>
        <w:spacing w:before="120" w:after="120"/>
        <w:rPr>
          <w:rFonts w:ascii="Verdana" w:hAnsi="Verdana"/>
          <w:sz w:val="24"/>
          <w:szCs w:val="24"/>
          <w:u w:val="single"/>
          <w:lang w:val="pl-PL"/>
        </w:rPr>
      </w:pPr>
    </w:p>
    <w:p w:rsidR="002D3719" w:rsidRPr="00055982" w:rsidRDefault="002D3719" w:rsidP="006263B0">
      <w:pPr>
        <w:rPr>
          <w:rFonts w:ascii="Verdana" w:hAnsi="Verdana"/>
          <w:b/>
          <w:sz w:val="24"/>
          <w:szCs w:val="24"/>
          <w:lang w:val="pl-PL"/>
        </w:rPr>
      </w:pPr>
      <w:bookmarkStart w:id="0" w:name="_GoBack"/>
      <w:bookmarkEnd w:id="0"/>
    </w:p>
    <w:tbl>
      <w:tblPr>
        <w:tblStyle w:val="Tabelraster"/>
        <w:tblpPr w:leftFromText="141" w:rightFromText="141" w:vertAnchor="text" w:tblpXSpec="center" w:tblpY="1"/>
        <w:tblOverlap w:val="never"/>
        <w:tblW w:w="0" w:type="auto"/>
        <w:tblLook w:val="04A0" w:firstRow="1" w:lastRow="0" w:firstColumn="1" w:lastColumn="0" w:noHBand="0" w:noVBand="1"/>
      </w:tblPr>
      <w:tblGrid>
        <w:gridCol w:w="5046"/>
      </w:tblGrid>
      <w:tr w:rsidR="006263B0" w:rsidRPr="00055982" w:rsidTr="00625688">
        <w:trPr>
          <w:trHeight w:val="567"/>
        </w:trPr>
        <w:tc>
          <w:tcPr>
            <w:tcW w:w="5046" w:type="dxa"/>
            <w:vAlign w:val="center"/>
          </w:tcPr>
          <w:p w:rsidR="006263B0" w:rsidRPr="00055982" w:rsidRDefault="00625688" w:rsidP="005E78EB">
            <w:pPr>
              <w:jc w:val="center"/>
              <w:rPr>
                <w:rFonts w:ascii="Verdana" w:hAnsi="Verdana"/>
                <w:b/>
                <w:sz w:val="24"/>
                <w:szCs w:val="24"/>
                <w:lang w:val="pl-PL"/>
              </w:rPr>
            </w:pPr>
            <w:r w:rsidRPr="00055982">
              <w:rPr>
                <w:rFonts w:ascii="Verdana" w:hAnsi="Verdana"/>
                <w:b/>
                <w:noProof/>
                <w:sz w:val="24"/>
                <w:szCs w:val="24"/>
                <w:lang w:val="nl-NL"/>
              </w:rPr>
              <w:lastRenderedPageBreak/>
              <w:drawing>
                <wp:inline distT="0" distB="0" distL="0" distR="0">
                  <wp:extent cx="324000" cy="180000"/>
                  <wp:effectExtent l="19050" t="19050" r="19050" b="10795"/>
                  <wp:docPr id="6" name="Afbeelding 6" descr="Flag of Russia.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lag of Russia.svg">
                            <a:hlinkClick r:id="rId8" tooltip="&quot;Rusland&quot;"/>
                          </pic:cNvPr>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000" cy="180000"/>
                          </a:xfrm>
                          <a:prstGeom prst="rect">
                            <a:avLst/>
                          </a:prstGeom>
                          <a:noFill/>
                          <a:ln w="3175">
                            <a:solidFill>
                              <a:schemeClr val="tx1"/>
                            </a:solidFill>
                          </a:ln>
                        </pic:spPr>
                      </pic:pic>
                    </a:graphicData>
                  </a:graphic>
                </wp:inline>
              </w:drawing>
            </w:r>
            <w:r w:rsidRPr="00055982">
              <w:rPr>
                <w:rFonts w:ascii="Arial" w:hAnsi="Arial" w:cs="Arial"/>
                <w:b/>
                <w:sz w:val="24"/>
                <w:szCs w:val="24"/>
                <w:lang w:val="pl-PL"/>
              </w:rPr>
              <w:t xml:space="preserve">  </w:t>
            </w:r>
            <w:r w:rsidRPr="00055982">
              <w:rPr>
                <w:rFonts w:ascii="Verdana" w:hAnsi="Verdana"/>
                <w:b/>
                <w:noProof/>
                <w:sz w:val="24"/>
                <w:szCs w:val="24"/>
                <w:lang w:val="nl-NL"/>
              </w:rPr>
              <w:drawing>
                <wp:inline distT="0" distB="0" distL="0" distR="0">
                  <wp:extent cx="288000" cy="180000"/>
                  <wp:effectExtent l="0" t="0" r="0" b="0"/>
                  <wp:docPr id="5" name="Afbeelding 5" descr="R516 RUS.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R516 RUS.svg">
                            <a:hlinkClick r:id="rId10" tooltip="&quot;R516 (Rusland)&quot;"/>
                          </pic:cNvPr>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000" cy="180000"/>
                          </a:xfrm>
                          <a:prstGeom prst="rect">
                            <a:avLst/>
                          </a:prstGeom>
                          <a:noFill/>
                          <a:ln>
                            <a:noFill/>
                          </a:ln>
                        </pic:spPr>
                      </pic:pic>
                    </a:graphicData>
                  </a:graphic>
                </wp:inline>
              </w:drawing>
            </w:r>
            <w:r w:rsidRPr="00055982">
              <w:rPr>
                <w:rFonts w:ascii="Arial" w:hAnsi="Arial" w:cs="Arial"/>
                <w:b/>
                <w:sz w:val="24"/>
                <w:szCs w:val="24"/>
                <w:lang w:val="pl-PL"/>
              </w:rPr>
              <w:t xml:space="preserve">  →</w:t>
            </w:r>
            <w:r w:rsidRPr="00055982">
              <w:rPr>
                <w:rFonts w:ascii="Verdana" w:hAnsi="Verdana"/>
                <w:b/>
                <w:sz w:val="24"/>
                <w:szCs w:val="24"/>
                <w:lang w:val="pl-PL"/>
              </w:rPr>
              <w:t xml:space="preserve"> Kaliningrad</w:t>
            </w:r>
          </w:p>
        </w:tc>
      </w:tr>
    </w:tbl>
    <w:p w:rsidR="006263B0" w:rsidRPr="00055982" w:rsidRDefault="006263B0" w:rsidP="006263B0">
      <w:pPr>
        <w:rPr>
          <w:rFonts w:ascii="Verdana" w:hAnsi="Verdana"/>
          <w:sz w:val="24"/>
          <w:szCs w:val="24"/>
          <w:lang w:val="pl-PL"/>
        </w:rPr>
      </w:pPr>
    </w:p>
    <w:p w:rsidR="0058595C" w:rsidRPr="00055982" w:rsidRDefault="0058595C" w:rsidP="00B07C92">
      <w:pPr>
        <w:keepLines/>
        <w:spacing w:before="120" w:after="120"/>
        <w:rPr>
          <w:rFonts w:ascii="Verdana" w:hAnsi="Verdana"/>
          <w:sz w:val="24"/>
          <w:szCs w:val="24"/>
          <w:lang w:val="pl-PL"/>
        </w:rPr>
      </w:pPr>
    </w:p>
    <w:p w:rsidR="00625688" w:rsidRPr="00055982" w:rsidRDefault="00625688" w:rsidP="00657179">
      <w:pPr>
        <w:keepLines/>
        <w:rPr>
          <w:rFonts w:ascii="Verdana" w:hAnsi="Verdana"/>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6263B0" w:rsidRPr="00055982" w:rsidTr="006263B0">
        <w:trPr>
          <w:trHeight w:val="510"/>
        </w:trPr>
        <w:tc>
          <w:tcPr>
            <w:tcW w:w="5102" w:type="dxa"/>
            <w:shd w:val="clear" w:color="auto" w:fill="auto"/>
            <w:vAlign w:val="center"/>
          </w:tcPr>
          <w:p w:rsidR="006263B0" w:rsidRPr="00055982" w:rsidRDefault="006263B0" w:rsidP="00625688">
            <w:pPr>
              <w:keepLines/>
              <w:rPr>
                <w:rFonts w:ascii="Verdana" w:hAnsi="Verdana"/>
                <w:b/>
                <w:sz w:val="24"/>
                <w:szCs w:val="24"/>
                <w:lang w:val="pl-PL"/>
              </w:rPr>
            </w:pPr>
            <w:r w:rsidRPr="00055982">
              <w:rPr>
                <w:noProof/>
                <w:color w:val="0000FF"/>
                <w:lang w:val="nl-NL"/>
              </w:rPr>
              <w:drawing>
                <wp:inline distT="0" distB="0" distL="0" distR="0" wp14:anchorId="7B31D015" wp14:editId="4108BFF2">
                  <wp:extent cx="190500" cy="144780"/>
                  <wp:effectExtent l="0" t="0" r="0" b="7620"/>
                  <wp:docPr id="1" name="Afbeelding 1"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5982">
              <w:rPr>
                <w:rFonts w:ascii="Verdana" w:hAnsi="Verdana"/>
                <w:b/>
                <w:sz w:val="24"/>
                <w:szCs w:val="24"/>
                <w:lang w:val="pl-PL"/>
              </w:rPr>
              <w:t xml:space="preserve"> </w:t>
            </w:r>
            <w:r w:rsidR="00625688" w:rsidRPr="00055982">
              <w:rPr>
                <w:rFonts w:ascii="Verdana" w:hAnsi="Verdana"/>
                <w:b/>
                <w:sz w:val="24"/>
                <w:szCs w:val="24"/>
                <w:lang w:val="pl-PL"/>
              </w:rPr>
              <w:t>Maciejewo</w:t>
            </w:r>
          </w:p>
        </w:tc>
        <w:tc>
          <w:tcPr>
            <w:tcW w:w="850" w:type="dxa"/>
            <w:shd w:val="clear" w:color="auto" w:fill="auto"/>
            <w:vAlign w:val="center"/>
          </w:tcPr>
          <w:p w:rsidR="006263B0" w:rsidRPr="00055982" w:rsidRDefault="006263B0" w:rsidP="00625688">
            <w:pPr>
              <w:keepLines/>
              <w:rPr>
                <w:rFonts w:ascii="Verdana" w:hAnsi="Verdana"/>
                <w:b/>
                <w:sz w:val="28"/>
                <w:szCs w:val="28"/>
                <w:lang w:val="pl-PL"/>
              </w:rPr>
            </w:pPr>
            <w:r w:rsidRPr="00055982">
              <w:rPr>
                <w:rFonts w:ascii="Verdana" w:hAnsi="Verdana"/>
                <w:b/>
                <w:color w:val="FFFFFF" w:themeColor="background1"/>
                <w:sz w:val="28"/>
                <w:szCs w:val="28"/>
                <w:shd w:val="clear" w:color="auto" w:fill="FF0000"/>
                <w:lang w:val="pl-PL"/>
              </w:rPr>
              <w:t>S22</w:t>
            </w:r>
          </w:p>
        </w:tc>
      </w:tr>
    </w:tbl>
    <w:p w:rsidR="0058595C" w:rsidRPr="00055982" w:rsidRDefault="0058595C" w:rsidP="00657179">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6263B0" w:rsidRPr="00055982" w:rsidTr="005E78EB">
        <w:trPr>
          <w:trHeight w:val="510"/>
        </w:trPr>
        <w:tc>
          <w:tcPr>
            <w:tcW w:w="5102" w:type="dxa"/>
            <w:shd w:val="clear" w:color="auto" w:fill="auto"/>
            <w:vAlign w:val="center"/>
          </w:tcPr>
          <w:p w:rsidR="006263B0" w:rsidRPr="00055982" w:rsidRDefault="006263B0" w:rsidP="00625688">
            <w:pPr>
              <w:keepLines/>
              <w:rPr>
                <w:rFonts w:ascii="Verdana" w:hAnsi="Verdana"/>
                <w:b/>
                <w:sz w:val="24"/>
                <w:szCs w:val="24"/>
                <w:lang w:val="pl-PL"/>
              </w:rPr>
            </w:pPr>
            <w:r w:rsidRPr="00055982">
              <w:rPr>
                <w:noProof/>
                <w:color w:val="0000FF"/>
                <w:lang w:val="nl-NL"/>
              </w:rPr>
              <w:drawing>
                <wp:inline distT="0" distB="0" distL="0" distR="0" wp14:anchorId="5F59CDF8" wp14:editId="133F98A9">
                  <wp:extent cx="190500" cy="144780"/>
                  <wp:effectExtent l="0" t="0" r="0" b="7620"/>
                  <wp:docPr id="2" name="Afbeelding 2"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5982">
              <w:rPr>
                <w:rFonts w:ascii="Verdana" w:hAnsi="Verdana"/>
                <w:b/>
                <w:sz w:val="24"/>
                <w:szCs w:val="24"/>
                <w:lang w:val="pl-PL"/>
              </w:rPr>
              <w:t xml:space="preserve"> </w:t>
            </w:r>
            <w:r w:rsidR="00625688" w:rsidRPr="00055982">
              <w:rPr>
                <w:rFonts w:ascii="Verdana" w:hAnsi="Verdana"/>
                <w:b/>
                <w:sz w:val="24"/>
                <w:szCs w:val="24"/>
                <w:lang w:val="pl-PL"/>
              </w:rPr>
              <w:t>Chruściel</w:t>
            </w:r>
          </w:p>
        </w:tc>
        <w:tc>
          <w:tcPr>
            <w:tcW w:w="850" w:type="dxa"/>
            <w:shd w:val="clear" w:color="auto" w:fill="auto"/>
            <w:vAlign w:val="center"/>
          </w:tcPr>
          <w:p w:rsidR="006263B0" w:rsidRPr="00055982" w:rsidRDefault="006263B0" w:rsidP="00625688">
            <w:pPr>
              <w:keepLines/>
              <w:rPr>
                <w:rFonts w:ascii="Verdana" w:hAnsi="Verdana"/>
                <w:b/>
                <w:sz w:val="28"/>
                <w:szCs w:val="28"/>
                <w:lang w:val="pl-PL"/>
              </w:rPr>
            </w:pPr>
            <w:r w:rsidRPr="00055982">
              <w:rPr>
                <w:rFonts w:ascii="Verdana" w:hAnsi="Verdana"/>
                <w:b/>
                <w:color w:val="FFFFFF" w:themeColor="background1"/>
                <w:sz w:val="28"/>
                <w:szCs w:val="28"/>
                <w:shd w:val="clear" w:color="auto" w:fill="FF0000"/>
                <w:lang w:val="pl-PL"/>
              </w:rPr>
              <w:t>S22</w:t>
            </w:r>
          </w:p>
        </w:tc>
      </w:tr>
    </w:tbl>
    <w:p w:rsidR="0058595C" w:rsidRPr="00055982" w:rsidRDefault="0058595C" w:rsidP="00657179">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6263B0" w:rsidRPr="00055982" w:rsidTr="005E78EB">
        <w:trPr>
          <w:trHeight w:val="510"/>
        </w:trPr>
        <w:tc>
          <w:tcPr>
            <w:tcW w:w="5102" w:type="dxa"/>
            <w:shd w:val="clear" w:color="auto" w:fill="auto"/>
            <w:vAlign w:val="center"/>
          </w:tcPr>
          <w:p w:rsidR="006263B0" w:rsidRPr="00055982" w:rsidRDefault="006263B0" w:rsidP="00625688">
            <w:pPr>
              <w:keepLines/>
              <w:rPr>
                <w:rFonts w:ascii="Verdana" w:hAnsi="Verdana"/>
                <w:b/>
                <w:sz w:val="24"/>
                <w:szCs w:val="24"/>
                <w:lang w:val="pl-PL"/>
              </w:rPr>
            </w:pPr>
            <w:r w:rsidRPr="00055982">
              <w:rPr>
                <w:noProof/>
                <w:color w:val="0000FF"/>
                <w:lang w:val="nl-NL"/>
              </w:rPr>
              <w:drawing>
                <wp:inline distT="0" distB="0" distL="0" distR="0" wp14:anchorId="5F59CDF8" wp14:editId="133F98A9">
                  <wp:extent cx="190500" cy="144780"/>
                  <wp:effectExtent l="0" t="0" r="0" b="7620"/>
                  <wp:docPr id="3" name="Afbeelding 3"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5982">
              <w:rPr>
                <w:rFonts w:ascii="Verdana" w:hAnsi="Verdana"/>
                <w:b/>
                <w:sz w:val="24"/>
                <w:szCs w:val="24"/>
                <w:lang w:val="pl-PL"/>
              </w:rPr>
              <w:t xml:space="preserve"> </w:t>
            </w:r>
            <w:r w:rsidR="00625688" w:rsidRPr="00055982">
              <w:rPr>
                <w:rFonts w:ascii="Verdana" w:hAnsi="Verdana"/>
                <w:b/>
                <w:sz w:val="24"/>
                <w:szCs w:val="24"/>
                <w:lang w:val="pl-PL"/>
              </w:rPr>
              <w:t>Błudowo</w:t>
            </w:r>
          </w:p>
        </w:tc>
        <w:tc>
          <w:tcPr>
            <w:tcW w:w="850" w:type="dxa"/>
            <w:shd w:val="clear" w:color="auto" w:fill="auto"/>
            <w:vAlign w:val="center"/>
          </w:tcPr>
          <w:p w:rsidR="006263B0" w:rsidRPr="00055982" w:rsidRDefault="006263B0" w:rsidP="00625688">
            <w:pPr>
              <w:keepLines/>
              <w:rPr>
                <w:rFonts w:ascii="Verdana" w:hAnsi="Verdana"/>
                <w:b/>
                <w:sz w:val="28"/>
                <w:szCs w:val="28"/>
                <w:lang w:val="pl-PL"/>
              </w:rPr>
            </w:pPr>
            <w:r w:rsidRPr="00055982">
              <w:rPr>
                <w:rFonts w:ascii="Verdana" w:hAnsi="Verdana"/>
                <w:b/>
                <w:color w:val="FFFFFF" w:themeColor="background1"/>
                <w:sz w:val="28"/>
                <w:szCs w:val="28"/>
                <w:shd w:val="clear" w:color="auto" w:fill="FF0000"/>
                <w:lang w:val="pl-PL"/>
              </w:rPr>
              <w:t>S22</w:t>
            </w:r>
          </w:p>
        </w:tc>
      </w:tr>
    </w:tbl>
    <w:p w:rsidR="006263B0" w:rsidRPr="00055982" w:rsidRDefault="006263B0" w:rsidP="00657179">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6263B0" w:rsidRPr="00055982" w:rsidTr="005E78EB">
        <w:trPr>
          <w:trHeight w:val="510"/>
        </w:trPr>
        <w:tc>
          <w:tcPr>
            <w:tcW w:w="5102" w:type="dxa"/>
            <w:shd w:val="clear" w:color="auto" w:fill="auto"/>
            <w:vAlign w:val="center"/>
          </w:tcPr>
          <w:p w:rsidR="006263B0" w:rsidRPr="00055982" w:rsidRDefault="006263B0" w:rsidP="00625688">
            <w:pPr>
              <w:keepLines/>
              <w:spacing w:before="120" w:after="120"/>
              <w:rPr>
                <w:rFonts w:ascii="Verdana" w:hAnsi="Verdana"/>
                <w:b/>
                <w:sz w:val="24"/>
                <w:szCs w:val="24"/>
                <w:lang w:val="pl-PL"/>
              </w:rPr>
            </w:pPr>
            <w:r w:rsidRPr="00055982">
              <w:rPr>
                <w:noProof/>
                <w:color w:val="0000FF"/>
                <w:lang w:val="nl-NL"/>
              </w:rPr>
              <w:drawing>
                <wp:inline distT="0" distB="0" distL="0" distR="0" wp14:anchorId="5F59CDF8" wp14:editId="133F98A9">
                  <wp:extent cx="190500" cy="144780"/>
                  <wp:effectExtent l="0" t="0" r="0" b="7620"/>
                  <wp:docPr id="4" name="Afbeelding 4"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5982">
              <w:rPr>
                <w:rFonts w:ascii="Verdana" w:hAnsi="Verdana"/>
                <w:b/>
                <w:sz w:val="24"/>
                <w:szCs w:val="24"/>
                <w:lang w:val="pl-PL"/>
              </w:rPr>
              <w:t xml:space="preserve"> </w:t>
            </w:r>
            <w:r w:rsidR="00625688" w:rsidRPr="00055982">
              <w:rPr>
                <w:rFonts w:ascii="Verdana" w:hAnsi="Verdana"/>
                <w:b/>
                <w:sz w:val="24"/>
                <w:szCs w:val="24"/>
                <w:lang w:val="pl-PL"/>
              </w:rPr>
              <w:t>Wilkowo</w:t>
            </w:r>
          </w:p>
        </w:tc>
        <w:tc>
          <w:tcPr>
            <w:tcW w:w="850" w:type="dxa"/>
            <w:shd w:val="clear" w:color="auto" w:fill="auto"/>
            <w:vAlign w:val="center"/>
          </w:tcPr>
          <w:p w:rsidR="006263B0" w:rsidRPr="00055982" w:rsidRDefault="006263B0" w:rsidP="00625688">
            <w:pPr>
              <w:keepLines/>
              <w:spacing w:before="120" w:after="120"/>
              <w:rPr>
                <w:rFonts w:ascii="Verdana" w:hAnsi="Verdana"/>
                <w:b/>
                <w:sz w:val="28"/>
                <w:szCs w:val="28"/>
                <w:lang w:val="pl-PL"/>
              </w:rPr>
            </w:pPr>
            <w:r w:rsidRPr="00055982">
              <w:rPr>
                <w:rFonts w:ascii="Verdana" w:hAnsi="Verdana"/>
                <w:b/>
                <w:color w:val="FFFFFF" w:themeColor="background1"/>
                <w:sz w:val="28"/>
                <w:szCs w:val="28"/>
                <w:shd w:val="clear" w:color="auto" w:fill="FF0000"/>
                <w:lang w:val="pl-PL"/>
              </w:rPr>
              <w:t>S22</w:t>
            </w:r>
          </w:p>
        </w:tc>
      </w:tr>
    </w:tbl>
    <w:p w:rsidR="006263B0" w:rsidRPr="00055982" w:rsidRDefault="006263B0" w:rsidP="00657179">
      <w:pPr>
        <w:pStyle w:val="Alinia0"/>
        <w:rPr>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4"/>
        <w:gridCol w:w="824"/>
        <w:gridCol w:w="4406"/>
        <w:gridCol w:w="826"/>
      </w:tblGrid>
      <w:tr w:rsidR="00657179" w:rsidRPr="00055982" w:rsidTr="00657179">
        <w:trPr>
          <w:trHeight w:val="254"/>
        </w:trPr>
        <w:tc>
          <w:tcPr>
            <w:tcW w:w="2105" w:type="pct"/>
            <w:vMerge w:val="restart"/>
            <w:shd w:val="clear" w:color="auto" w:fill="F2F2F2" w:themeFill="background1" w:themeFillShade="F2"/>
            <w:vAlign w:val="center"/>
          </w:tcPr>
          <w:p w:rsidR="00657179" w:rsidRPr="00055982" w:rsidRDefault="00657179" w:rsidP="00B01F87">
            <w:pPr>
              <w:rPr>
                <w:rFonts w:ascii="Verdana" w:hAnsi="Verdana"/>
                <w:b/>
                <w:color w:val="000000" w:themeColor="text1"/>
                <w:sz w:val="24"/>
                <w:szCs w:val="24"/>
                <w:lang w:val="pl-PL"/>
              </w:rPr>
            </w:pPr>
            <w:r w:rsidRPr="00055982">
              <w:rPr>
                <w:rFonts w:ascii="Verdana" w:hAnsi="Verdana"/>
                <w:noProof/>
                <w:lang w:val="nl-NL"/>
              </w:rPr>
              <w:drawing>
                <wp:inline distT="0" distB="0" distL="0" distR="0" wp14:anchorId="2C2B2FB2" wp14:editId="0FD19D11">
                  <wp:extent cx="354654" cy="266700"/>
                  <wp:effectExtent l="0" t="0" r="7620" b="0"/>
                  <wp:docPr id="8" name="Afbeelding 8" descr="Bestand:Kreuz symb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tand:Kreuz symbool.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4878" cy="266868"/>
                          </a:xfrm>
                          <a:prstGeom prst="rect">
                            <a:avLst/>
                          </a:prstGeom>
                          <a:noFill/>
                          <a:ln>
                            <a:noFill/>
                          </a:ln>
                        </pic:spPr>
                      </pic:pic>
                    </a:graphicData>
                  </a:graphic>
                </wp:inline>
              </w:drawing>
            </w:r>
            <w:r w:rsidRPr="00055982">
              <w:rPr>
                <w:rFonts w:ascii="Verdana" w:hAnsi="Verdana"/>
                <w:b/>
                <w:noProof/>
                <w:color w:val="000000" w:themeColor="text1"/>
                <w:sz w:val="24"/>
                <w:szCs w:val="24"/>
                <w:lang w:val="pl-PL"/>
              </w:rPr>
              <w:t xml:space="preserve"> </w:t>
            </w:r>
            <w:r w:rsidRPr="00055982">
              <w:rPr>
                <w:rFonts w:ascii="Verdana" w:hAnsi="Verdana"/>
                <w:noProof/>
                <w:color w:val="000000" w:themeColor="text1"/>
                <w:lang w:val="nl-NL"/>
              </w:rPr>
              <w:drawing>
                <wp:inline distT="0" distB="0" distL="0" distR="0" wp14:anchorId="044B5CF2" wp14:editId="5A3964AA">
                  <wp:extent cx="190500" cy="144780"/>
                  <wp:effectExtent l="0" t="0" r="0" b="7620"/>
                  <wp:docPr id="9" name="Afbeelding 9"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5982">
              <w:rPr>
                <w:rFonts w:ascii="Verdana" w:hAnsi="Verdana"/>
                <w:b/>
                <w:noProof/>
                <w:color w:val="000000" w:themeColor="text1"/>
                <w:sz w:val="24"/>
                <w:szCs w:val="24"/>
                <w:lang w:val="pl-PL"/>
              </w:rPr>
              <w:t xml:space="preserve"> </w:t>
            </w:r>
            <w:r w:rsidRPr="00055982">
              <w:rPr>
                <w:rFonts w:ascii="Verdana" w:hAnsi="Verdana"/>
                <w:b/>
                <w:color w:val="000000" w:themeColor="text1"/>
                <w:sz w:val="24"/>
                <w:szCs w:val="24"/>
                <w:lang w:val="pl-PL"/>
              </w:rPr>
              <w:t>Węzeł Elbląg-Wschód</w:t>
            </w:r>
          </w:p>
        </w:tc>
        <w:tc>
          <w:tcPr>
            <w:tcW w:w="394" w:type="pct"/>
            <w:vMerge w:val="restart"/>
            <w:vAlign w:val="center"/>
          </w:tcPr>
          <w:p w:rsidR="00657179" w:rsidRPr="00055982" w:rsidRDefault="00657179" w:rsidP="00D11221">
            <w:pPr>
              <w:jc w:val="center"/>
              <w:rPr>
                <w:rFonts w:ascii="Verdana" w:hAnsi="Verdana"/>
                <w:b/>
                <w:color w:val="000000" w:themeColor="text1"/>
                <w:sz w:val="24"/>
                <w:szCs w:val="24"/>
                <w:lang w:val="pl-PL"/>
              </w:rPr>
            </w:pPr>
            <w:r w:rsidRPr="00055982">
              <w:rPr>
                <w:rFonts w:ascii="Verdana" w:hAnsi="Verdana"/>
                <w:b/>
                <w:color w:val="FFFFFF" w:themeColor="background1"/>
                <w:sz w:val="28"/>
                <w:szCs w:val="28"/>
                <w:shd w:val="clear" w:color="auto" w:fill="FF0000"/>
                <w:lang w:val="pl-PL"/>
              </w:rPr>
              <w:t>S7</w:t>
            </w:r>
          </w:p>
        </w:tc>
        <w:tc>
          <w:tcPr>
            <w:tcW w:w="2106" w:type="pct"/>
            <w:vAlign w:val="center"/>
          </w:tcPr>
          <w:p w:rsidR="00657179" w:rsidRPr="00055982" w:rsidRDefault="00657179" w:rsidP="003506CA">
            <w:pPr>
              <w:rPr>
                <w:rFonts w:ascii="Verdana" w:hAnsi="Verdana"/>
                <w:b/>
                <w:color w:val="000000" w:themeColor="text1"/>
                <w:sz w:val="24"/>
                <w:szCs w:val="24"/>
                <w:lang w:val="pl-PL"/>
              </w:rPr>
            </w:pPr>
            <w:r w:rsidRPr="00055982">
              <w:rPr>
                <w:rFonts w:ascii="Arial" w:hAnsi="Arial" w:cs="Arial"/>
                <w:b/>
                <w:sz w:val="24"/>
                <w:szCs w:val="24"/>
                <w:lang w:val="pl-PL"/>
              </w:rPr>
              <w:t>→ Warszawa</w:t>
            </w:r>
          </w:p>
        </w:tc>
        <w:tc>
          <w:tcPr>
            <w:tcW w:w="395" w:type="pct"/>
            <w:vMerge w:val="restart"/>
            <w:vAlign w:val="center"/>
          </w:tcPr>
          <w:p w:rsidR="00657179" w:rsidRPr="00055982" w:rsidRDefault="00657179" w:rsidP="00D11221">
            <w:pPr>
              <w:jc w:val="center"/>
              <w:rPr>
                <w:rFonts w:ascii="Verdana" w:hAnsi="Verdana"/>
                <w:b/>
                <w:color w:val="000000" w:themeColor="text1"/>
                <w:sz w:val="24"/>
                <w:szCs w:val="24"/>
                <w:lang w:val="pl-PL"/>
              </w:rPr>
            </w:pPr>
            <w:r w:rsidRPr="00055982">
              <w:rPr>
                <w:rFonts w:ascii="Verdana" w:hAnsi="Verdana"/>
                <w:b/>
                <w:color w:val="FFFFFF" w:themeColor="background1"/>
                <w:sz w:val="28"/>
                <w:szCs w:val="28"/>
                <w:shd w:val="clear" w:color="auto" w:fill="FF0000"/>
                <w:lang w:val="pl-PL"/>
              </w:rPr>
              <w:t>S22</w:t>
            </w:r>
          </w:p>
        </w:tc>
      </w:tr>
      <w:tr w:rsidR="00657179" w:rsidRPr="00055982" w:rsidTr="00657179">
        <w:trPr>
          <w:trHeight w:val="254"/>
        </w:trPr>
        <w:tc>
          <w:tcPr>
            <w:tcW w:w="2105" w:type="pct"/>
            <w:vMerge/>
            <w:shd w:val="clear" w:color="auto" w:fill="F2F2F2" w:themeFill="background1" w:themeFillShade="F2"/>
            <w:vAlign w:val="center"/>
          </w:tcPr>
          <w:p w:rsidR="00657179" w:rsidRPr="00055982" w:rsidRDefault="00657179" w:rsidP="003506CA">
            <w:pPr>
              <w:rPr>
                <w:rFonts w:ascii="Verdana" w:hAnsi="Verdana"/>
                <w:b/>
                <w:color w:val="000000" w:themeColor="text1"/>
                <w:sz w:val="24"/>
                <w:szCs w:val="24"/>
                <w:lang w:val="pl-PL"/>
              </w:rPr>
            </w:pPr>
          </w:p>
        </w:tc>
        <w:tc>
          <w:tcPr>
            <w:tcW w:w="394" w:type="pct"/>
            <w:vMerge/>
            <w:vAlign w:val="center"/>
          </w:tcPr>
          <w:p w:rsidR="00657179" w:rsidRPr="00055982" w:rsidRDefault="00657179" w:rsidP="003506CA">
            <w:pPr>
              <w:rPr>
                <w:rFonts w:ascii="Verdana" w:hAnsi="Verdana"/>
                <w:b/>
                <w:color w:val="000000" w:themeColor="text1"/>
                <w:sz w:val="24"/>
                <w:szCs w:val="24"/>
                <w:lang w:val="pl-PL"/>
              </w:rPr>
            </w:pPr>
          </w:p>
        </w:tc>
        <w:tc>
          <w:tcPr>
            <w:tcW w:w="2106" w:type="pct"/>
            <w:vAlign w:val="center"/>
          </w:tcPr>
          <w:p w:rsidR="00657179" w:rsidRPr="00055982" w:rsidRDefault="00657179" w:rsidP="003506CA">
            <w:pPr>
              <w:rPr>
                <w:rFonts w:ascii="Verdana" w:hAnsi="Verdana"/>
                <w:b/>
                <w:color w:val="000000" w:themeColor="text1"/>
                <w:sz w:val="24"/>
                <w:szCs w:val="24"/>
                <w:lang w:val="pl-PL"/>
              </w:rPr>
            </w:pPr>
            <w:r w:rsidRPr="00055982">
              <w:rPr>
                <w:rFonts w:ascii="Arial" w:hAnsi="Arial" w:cs="Arial"/>
                <w:b/>
                <w:sz w:val="24"/>
                <w:szCs w:val="24"/>
                <w:lang w:val="pl-PL"/>
              </w:rPr>
              <w:t>→ Gdansk</w:t>
            </w:r>
          </w:p>
        </w:tc>
        <w:tc>
          <w:tcPr>
            <w:tcW w:w="395" w:type="pct"/>
            <w:vMerge/>
            <w:vAlign w:val="center"/>
          </w:tcPr>
          <w:p w:rsidR="00657179" w:rsidRPr="00055982" w:rsidRDefault="00657179" w:rsidP="003506CA">
            <w:pPr>
              <w:rPr>
                <w:rFonts w:ascii="Verdana" w:hAnsi="Verdana"/>
                <w:b/>
                <w:color w:val="000000" w:themeColor="text1"/>
                <w:sz w:val="24"/>
                <w:szCs w:val="24"/>
                <w:lang w:val="pl-PL"/>
              </w:rPr>
            </w:pPr>
          </w:p>
        </w:tc>
      </w:tr>
    </w:tbl>
    <w:p w:rsidR="00625688" w:rsidRPr="00055982" w:rsidRDefault="00625688" w:rsidP="00657179">
      <w:pPr>
        <w:pStyle w:val="Alinia0"/>
        <w:rPr>
          <w:lang w:val="pl-PL"/>
        </w:rPr>
      </w:pPr>
    </w:p>
    <w:sectPr w:rsidR="00625688" w:rsidRPr="00055982" w:rsidSect="002D3719">
      <w:headerReference w:type="default" r:id="rId15"/>
      <w:footerReference w:type="default" r:id="rId16"/>
      <w:pgSz w:w="11906" w:h="16838"/>
      <w:pgMar w:top="720" w:right="720" w:bottom="720" w:left="720"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7D0" w:rsidRDefault="000907D0" w:rsidP="007A2B79">
      <w:r>
        <w:separator/>
      </w:r>
    </w:p>
  </w:endnote>
  <w:endnote w:type="continuationSeparator" w:id="0">
    <w:p w:rsidR="000907D0" w:rsidRDefault="000907D0"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710"/>
      <w:gridCol w:w="1379"/>
      <w:gridCol w:w="4377"/>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9F5333" w:rsidRPr="009F5333">
            <w:rPr>
              <w:rFonts w:ascii="Verdana" w:eastAsiaTheme="majorEastAsia" w:hAnsi="Verdana" w:cstheme="majorBidi"/>
              <w:b/>
              <w:bCs/>
              <w:noProof/>
              <w:sz w:val="16"/>
              <w:szCs w:val="16"/>
            </w:rPr>
            <w:t>4</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7D0" w:rsidRDefault="000907D0" w:rsidP="007A2B79">
      <w:r>
        <w:separator/>
      </w:r>
    </w:p>
  </w:footnote>
  <w:footnote w:type="continuationSeparator" w:id="0">
    <w:p w:rsidR="000907D0" w:rsidRDefault="000907D0"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Pr="003B63E3" w:rsidRDefault="002221B7" w:rsidP="00055982">
    <w:pPr>
      <w:pStyle w:val="Koptekst"/>
      <w:ind w:firstLine="1418"/>
      <w:rPr>
        <w:rFonts w:ascii="Verdana" w:hAnsi="Verdana"/>
        <w:b/>
        <w:sz w:val="28"/>
        <w:szCs w:val="28"/>
        <w:lang w:val="nl-NL"/>
      </w:rPr>
    </w:pPr>
    <w:r w:rsidRPr="003B63E3">
      <w:rPr>
        <w:noProof/>
        <w:lang w:val="nl-NL"/>
      </w:rPr>
      <w:drawing>
        <wp:anchor distT="0" distB="0" distL="114300" distR="114300" simplePos="0" relativeHeight="251662336" behindDoc="1" locked="0" layoutInCell="1" allowOverlap="1" wp14:anchorId="2376DEC1" wp14:editId="224C67E9">
          <wp:simplePos x="0" y="0"/>
          <wp:positionH relativeFrom="column">
            <wp:posOffset>-261620</wp:posOffset>
          </wp:positionH>
          <wp:positionV relativeFrom="paragraph">
            <wp:posOffset>-226695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B63E3">
      <w:rPr>
        <w:rFonts w:ascii="Verdana" w:hAnsi="Verdana"/>
        <w:b/>
        <w:sz w:val="28"/>
        <w:szCs w:val="28"/>
        <w:lang w:val="nl-NL"/>
      </w:rPr>
      <w:t xml:space="preserve">Autosnelwegen </w:t>
    </w:r>
    <w:r w:rsidR="00FD2CFB">
      <w:rPr>
        <w:rFonts w:ascii="Verdana" w:hAnsi="Verdana"/>
        <w:b/>
        <w:sz w:val="28"/>
        <w:szCs w:val="28"/>
        <w:lang w:val="nl-NL"/>
      </w:rPr>
      <w:t>Polen</w:t>
    </w:r>
    <w:r w:rsidR="005A0357" w:rsidRPr="003B63E3">
      <w:rPr>
        <w:rFonts w:ascii="Comic Sans MS" w:hAnsi="Comic Sans MS"/>
        <w:b/>
        <w:noProof/>
        <w:color w:val="0000FF"/>
        <w:sz w:val="28"/>
        <w:szCs w:val="28"/>
        <w:lang w:val="nl-NL" w:eastAsia="zh-CN"/>
      </w:rPr>
      <w:t xml:space="preserve"> </w:t>
    </w:r>
    <w:r w:rsidR="007C2E5D" w:rsidRPr="00055982">
      <w:rPr>
        <w:rStyle w:val="Autobaan"/>
        <w:sz w:val="32"/>
        <w:szCs w:val="32"/>
        <w:bdr w:val="none" w:sz="0" w:space="0" w:color="auto"/>
        <w:shd w:val="clear" w:color="auto" w:fill="FF0000"/>
        <w:lang w:val="nl-NL"/>
      </w:rPr>
      <w:t>S</w:t>
    </w:r>
    <w:r w:rsidR="00B07C92" w:rsidRPr="00055982">
      <w:rPr>
        <w:rStyle w:val="Autobaan"/>
        <w:sz w:val="32"/>
        <w:szCs w:val="32"/>
        <w:bdr w:val="none" w:sz="0" w:space="0" w:color="auto"/>
        <w:shd w:val="clear" w:color="auto" w:fill="FF0000"/>
        <w:lang w:val="nl-NL"/>
      </w:rPr>
      <w:t>22</w:t>
    </w:r>
  </w:p>
  <w:p w:rsidR="002221B7" w:rsidRPr="007A2B79" w:rsidRDefault="002221B7">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15AE6"/>
    <w:rsid w:val="000306EB"/>
    <w:rsid w:val="00037952"/>
    <w:rsid w:val="00055982"/>
    <w:rsid w:val="00077BC5"/>
    <w:rsid w:val="0008766A"/>
    <w:rsid w:val="000907D0"/>
    <w:rsid w:val="000A0737"/>
    <w:rsid w:val="000A5975"/>
    <w:rsid w:val="000B35DC"/>
    <w:rsid w:val="000B3992"/>
    <w:rsid w:val="000B3F02"/>
    <w:rsid w:val="000C322C"/>
    <w:rsid w:val="000D0A8B"/>
    <w:rsid w:val="000E4D84"/>
    <w:rsid w:val="000F3B57"/>
    <w:rsid w:val="000F4F6B"/>
    <w:rsid w:val="00120DD2"/>
    <w:rsid w:val="001277B2"/>
    <w:rsid w:val="00184F86"/>
    <w:rsid w:val="001851FC"/>
    <w:rsid w:val="001B0768"/>
    <w:rsid w:val="001C433C"/>
    <w:rsid w:val="001D64BE"/>
    <w:rsid w:val="0021453E"/>
    <w:rsid w:val="002221B7"/>
    <w:rsid w:val="00244E8B"/>
    <w:rsid w:val="002750CB"/>
    <w:rsid w:val="00275D6D"/>
    <w:rsid w:val="002A65F5"/>
    <w:rsid w:val="002B29A5"/>
    <w:rsid w:val="002D3719"/>
    <w:rsid w:val="002F6A8B"/>
    <w:rsid w:val="00330EC1"/>
    <w:rsid w:val="00340709"/>
    <w:rsid w:val="00343FFB"/>
    <w:rsid w:val="00375508"/>
    <w:rsid w:val="003A3BB9"/>
    <w:rsid w:val="003B5097"/>
    <w:rsid w:val="003B63E3"/>
    <w:rsid w:val="003B734B"/>
    <w:rsid w:val="003F2144"/>
    <w:rsid w:val="00442004"/>
    <w:rsid w:val="004435A4"/>
    <w:rsid w:val="00445709"/>
    <w:rsid w:val="004B0A15"/>
    <w:rsid w:val="004F49EB"/>
    <w:rsid w:val="00522CF5"/>
    <w:rsid w:val="005372D9"/>
    <w:rsid w:val="00546D48"/>
    <w:rsid w:val="00553B72"/>
    <w:rsid w:val="0058595C"/>
    <w:rsid w:val="00592944"/>
    <w:rsid w:val="005A0357"/>
    <w:rsid w:val="005A5431"/>
    <w:rsid w:val="005D0E3B"/>
    <w:rsid w:val="005F7DB2"/>
    <w:rsid w:val="00613826"/>
    <w:rsid w:val="0061650B"/>
    <w:rsid w:val="006226E1"/>
    <w:rsid w:val="00625688"/>
    <w:rsid w:val="006263B0"/>
    <w:rsid w:val="00630A26"/>
    <w:rsid w:val="006453EC"/>
    <w:rsid w:val="00651599"/>
    <w:rsid w:val="00653D2E"/>
    <w:rsid w:val="00657179"/>
    <w:rsid w:val="00667A41"/>
    <w:rsid w:val="00671162"/>
    <w:rsid w:val="00687CFF"/>
    <w:rsid w:val="00690DC7"/>
    <w:rsid w:val="00695640"/>
    <w:rsid w:val="0069785C"/>
    <w:rsid w:val="006A2674"/>
    <w:rsid w:val="006A4E41"/>
    <w:rsid w:val="006B0288"/>
    <w:rsid w:val="006B6011"/>
    <w:rsid w:val="006C1401"/>
    <w:rsid w:val="006C351C"/>
    <w:rsid w:val="006C3B72"/>
    <w:rsid w:val="00703132"/>
    <w:rsid w:val="007104BE"/>
    <w:rsid w:val="00721C4D"/>
    <w:rsid w:val="00732328"/>
    <w:rsid w:val="00742850"/>
    <w:rsid w:val="00762F5A"/>
    <w:rsid w:val="007854B0"/>
    <w:rsid w:val="007871FC"/>
    <w:rsid w:val="007A2B79"/>
    <w:rsid w:val="007C2E5D"/>
    <w:rsid w:val="007C5E0F"/>
    <w:rsid w:val="007E779C"/>
    <w:rsid w:val="00812010"/>
    <w:rsid w:val="0083246E"/>
    <w:rsid w:val="0085661F"/>
    <w:rsid w:val="00861890"/>
    <w:rsid w:val="00862C18"/>
    <w:rsid w:val="00867836"/>
    <w:rsid w:val="00874E8D"/>
    <w:rsid w:val="008D0BAE"/>
    <w:rsid w:val="008F5955"/>
    <w:rsid w:val="00921D0C"/>
    <w:rsid w:val="00947BDD"/>
    <w:rsid w:val="009D2624"/>
    <w:rsid w:val="009F1975"/>
    <w:rsid w:val="009F5333"/>
    <w:rsid w:val="00A34924"/>
    <w:rsid w:val="00A63239"/>
    <w:rsid w:val="00A63BD1"/>
    <w:rsid w:val="00A644E1"/>
    <w:rsid w:val="00A73BC5"/>
    <w:rsid w:val="00A8267D"/>
    <w:rsid w:val="00AA7E3C"/>
    <w:rsid w:val="00AB30AB"/>
    <w:rsid w:val="00AD1C0A"/>
    <w:rsid w:val="00AD662A"/>
    <w:rsid w:val="00B07C92"/>
    <w:rsid w:val="00B17680"/>
    <w:rsid w:val="00B36593"/>
    <w:rsid w:val="00B6539F"/>
    <w:rsid w:val="00B722F8"/>
    <w:rsid w:val="00B72E4C"/>
    <w:rsid w:val="00B76B49"/>
    <w:rsid w:val="00BC7C6A"/>
    <w:rsid w:val="00BD0AC1"/>
    <w:rsid w:val="00BD1A05"/>
    <w:rsid w:val="00BF56E5"/>
    <w:rsid w:val="00C075CE"/>
    <w:rsid w:val="00C45593"/>
    <w:rsid w:val="00C552D4"/>
    <w:rsid w:val="00C56E7A"/>
    <w:rsid w:val="00C65AE8"/>
    <w:rsid w:val="00C75D61"/>
    <w:rsid w:val="00C94F1D"/>
    <w:rsid w:val="00CA408D"/>
    <w:rsid w:val="00CB7D9C"/>
    <w:rsid w:val="00D01349"/>
    <w:rsid w:val="00D13D40"/>
    <w:rsid w:val="00D21D4C"/>
    <w:rsid w:val="00D26096"/>
    <w:rsid w:val="00D51E15"/>
    <w:rsid w:val="00D87BED"/>
    <w:rsid w:val="00D963B6"/>
    <w:rsid w:val="00DA173F"/>
    <w:rsid w:val="00DC16E0"/>
    <w:rsid w:val="00DD7C77"/>
    <w:rsid w:val="00DE3CD7"/>
    <w:rsid w:val="00DE5E63"/>
    <w:rsid w:val="00DE7B70"/>
    <w:rsid w:val="00E0436C"/>
    <w:rsid w:val="00E632BB"/>
    <w:rsid w:val="00E760C6"/>
    <w:rsid w:val="00E81BFD"/>
    <w:rsid w:val="00E83D9B"/>
    <w:rsid w:val="00E9132D"/>
    <w:rsid w:val="00E91C51"/>
    <w:rsid w:val="00E934C7"/>
    <w:rsid w:val="00EA42F3"/>
    <w:rsid w:val="00ED0E92"/>
    <w:rsid w:val="00EE315B"/>
    <w:rsid w:val="00F14055"/>
    <w:rsid w:val="00F35C87"/>
    <w:rsid w:val="00F53BCF"/>
    <w:rsid w:val="00F5666A"/>
    <w:rsid w:val="00F73821"/>
    <w:rsid w:val="00F84C48"/>
    <w:rsid w:val="00F95BA8"/>
    <w:rsid w:val="00FB6731"/>
    <w:rsid w:val="00FD2CF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8DDEBE-2E89-4233-B1DB-5DECD081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657179"/>
    <w:pPr>
      <w:spacing w:before="0" w:after="0"/>
    </w:pPr>
    <w:rPr>
      <w:szCs w:val="24"/>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C94F1D"/>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genwiki.nl/Rusland"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wegenwiki.nl/Bestand:Afslagsymbool.sv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wegenwiki.nl/R516_(Rusland)"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568</Words>
  <Characters>3124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
  <dc:creator>Van het Internet</dc:creator>
  <cp:lastModifiedBy>Enne Berends</cp:lastModifiedBy>
  <cp:revision>2</cp:revision>
  <cp:lastPrinted>2011-10-21T09:12:00Z</cp:lastPrinted>
  <dcterms:created xsi:type="dcterms:W3CDTF">2015-12-04T14:54:00Z</dcterms:created>
  <dcterms:modified xsi:type="dcterms:W3CDTF">2015-12-04T14:54:00Z</dcterms:modified>
  <cp:category>2012</cp:category>
</cp:coreProperties>
</file>