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3C" w:rsidRDefault="007A2B79" w:rsidP="00DE5E63">
      <w:pPr>
        <w:keepLines/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EF74DA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7C2E5D" w:rsidRPr="00EF74DA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532A3E" w:rsidRPr="00EF74DA">
        <w:rPr>
          <w:rFonts w:ascii="Verdana" w:hAnsi="Verdana"/>
          <w:b/>
          <w:bCs/>
          <w:sz w:val="96"/>
          <w:szCs w:val="96"/>
          <w:lang w:val="pl-PL"/>
        </w:rPr>
        <w:t>19</w:t>
      </w:r>
    </w:p>
    <w:p w:rsidR="00C16F30" w:rsidRDefault="00C16F30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pl-PL"/>
        </w:rPr>
      </w:pPr>
      <w:r>
        <w:rPr>
          <w:rFonts w:ascii="Verdana" w:hAnsi="Verdana"/>
          <w:b/>
          <w:bCs/>
          <w:noProof/>
          <w:sz w:val="72"/>
          <w:szCs w:val="72"/>
          <w:lang w:val="nl-NL"/>
        </w:rPr>
        <w:drawing>
          <wp:inline distT="0" distB="0" distL="0" distR="0">
            <wp:extent cx="2620370" cy="5665974"/>
            <wp:effectExtent l="95250" t="76200" r="104140" b="166878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len S19 overzicht Bustic.nl 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09" cy="569935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A2B79" w:rsidRPr="00EF74DA" w:rsidRDefault="00532A3E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EF74DA">
        <w:rPr>
          <w:rFonts w:ascii="Verdana" w:hAnsi="Verdana"/>
          <w:b/>
          <w:bCs/>
          <w:sz w:val="72"/>
          <w:szCs w:val="72"/>
          <w:lang w:val="pl-PL"/>
        </w:rPr>
        <w:t xml:space="preserve">Kuźnica </w:t>
      </w:r>
      <w:r w:rsidR="00C16F30">
        <w:rPr>
          <w:rFonts w:ascii="Verdana" w:hAnsi="Verdana"/>
          <w:b/>
          <w:bCs/>
          <w:sz w:val="72"/>
          <w:szCs w:val="72"/>
          <w:lang w:val="pl-PL"/>
        </w:rPr>
        <w:t xml:space="preserve">- </w:t>
      </w:r>
      <w:r w:rsidRPr="00EF74DA">
        <w:rPr>
          <w:rFonts w:ascii="Verdana" w:hAnsi="Verdana"/>
          <w:b/>
          <w:bCs/>
          <w:sz w:val="72"/>
          <w:szCs w:val="72"/>
          <w:lang w:val="pl-PL"/>
        </w:rPr>
        <w:t xml:space="preserve">Białostocka </w:t>
      </w:r>
    </w:p>
    <w:p w:rsidR="00532A3E" w:rsidRPr="00EF74DA" w:rsidRDefault="00532A3E" w:rsidP="00C16F30">
      <w:pPr>
        <w:keepLines/>
        <w:jc w:val="center"/>
        <w:rPr>
          <w:rFonts w:ascii="Verdana" w:hAnsi="Verdana"/>
          <w:sz w:val="24"/>
          <w:szCs w:val="24"/>
          <w:lang w:val="pl-PL"/>
        </w:rPr>
      </w:pPr>
      <w:r w:rsidRPr="00EF74DA">
        <w:rPr>
          <w:rFonts w:ascii="Verdana" w:hAnsi="Verdana"/>
          <w:b/>
          <w:bCs/>
          <w:sz w:val="72"/>
          <w:szCs w:val="72"/>
          <w:lang w:val="pl-PL"/>
        </w:rPr>
        <w:t xml:space="preserve">Barwinek </w:t>
      </w:r>
    </w:p>
    <w:p w:rsidR="00532A3E" w:rsidRPr="00EF74DA" w:rsidRDefault="00532A3E" w:rsidP="00532A3E">
      <w:pPr>
        <w:pStyle w:val="BusTic"/>
        <w:rPr>
          <w:lang w:val="pl-PL"/>
        </w:rPr>
      </w:pPr>
      <w:bookmarkStart w:id="0" w:name="_GoBack"/>
      <w:bookmarkEnd w:id="0"/>
      <w:r w:rsidRPr="00EF74DA">
        <w:rPr>
          <w:lang w:val="pl-PL"/>
        </w:rPr>
        <w:lastRenderedPageBreak/>
        <w:t xml:space="preserve">De S19 is een droga ekspresowa in Polen.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snelweg moet een noord-zuidverbinding gaan vormen in het oosten van het land, tussen de grens met Wit-Rusland tussen Hrodna en Białystok, via Białystok, Lublin en Rzeszów naar de grens met Slowakije bij Barwinek.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geplande route is 570 kilometer lang.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Momenteel is er nog maar 28 kilometer van voltooid. </w:t>
      </w:r>
    </w:p>
    <w:p w:rsidR="00532A3E" w:rsidRPr="00EF74DA" w:rsidRDefault="00532A3E" w:rsidP="00532A3E">
      <w:pPr>
        <w:keepLines/>
        <w:rPr>
          <w:rFonts w:ascii="Verdana" w:hAnsi="Verdana"/>
          <w:b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lang w:val="pl-PL"/>
        </w:rPr>
      </w:pPr>
      <w:r w:rsidRPr="00EF74DA">
        <w:rPr>
          <w:b/>
          <w:lang w:val="pl-PL"/>
        </w:rPr>
        <w:t>Routebeschrijving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Bij het grensgehucht Kuźnica Białostocka gaat de A231 uit Hrodna de grens tussen Wit-Rusland en Polen over.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route loopt dan naar het zuidwesten, naar de grotere stad Białystok.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Hier moet een aansluiting met de S8 komen, de snelweg van Warszawa naar Augustów.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S19 moet daarna aan een lange eenzame route naar het zuiden beginnen, parallel aan de grens met Wit-Rusland.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Bij Międzyrzec Podlaski moet een knooppunt met de A2 komen, de snelweg van Warszawa naar Brest.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Daarna loopt de route over de steppes naar Lublin, een grotere stad in Zuidoost-Polen.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Hier moet een knooppunt met de S12 en S17 komen, die zijn </w:t>
      </w:r>
      <w:r w:rsidR="00740F1B" w:rsidRPr="00EF74DA">
        <w:rPr>
          <w:lang w:val="pl-PL"/>
        </w:rPr>
        <w:t>dubbel genummerd</w:t>
      </w:r>
      <w:r w:rsidRPr="00EF74DA">
        <w:rPr>
          <w:lang w:val="pl-PL"/>
        </w:rPr>
        <w:t xml:space="preserve">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S12 loopt vanaf Radom naar Chełm, de S17 van Warszawa naar L'viv.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Verder naar het zuiden wordt het landschap wat heuvelachtiger, en bij de stad Rzeszów moet een knooppunt met de A4 komen, de snelweg van Kraków en Tarnów naar L'viv.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Daarna gaat het tracé de Beskidybergen in, tot aan de grens met Slowakije bij Barwinek. Vanaf daar kan men verder naar de Slowaakse stad Prešov. 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lang w:val="pl-PL"/>
        </w:rPr>
      </w:pPr>
      <w:r w:rsidRPr="00EF74DA">
        <w:rPr>
          <w:b/>
          <w:lang w:val="pl-PL"/>
        </w:rPr>
        <w:t>Geschiedenis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In 2008 is de bypass van Międzyrzec Podlaski opengesteld.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In 2009 ging de rondweg van Wasilków in aanleg, direct ten noorden van Białystok.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Deze is in februari 2011 opengesteld.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>Op 21 december 2011 opende de 8 kilometer lange rondweg van Kock.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Op 10 september 2012 opende de S19 tussen Stobierna en Rzeszów-Wschód. In dit segment zit ook het eerste 2x2-deel van de S19 tussen Jasionka en Rzeszów-Wschód.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Op 13 december 2013 opende de S19 aan de westkant van Rzeszów, tussen de A4 (Rzeszów-Zachód) en de DK4 bij Świlcza. </w:t>
      </w:r>
    </w:p>
    <w:p w:rsidR="00532A3E" w:rsidRPr="00EF74DA" w:rsidRDefault="00532A3E" w:rsidP="00740F1B">
      <w:pPr>
        <w:pStyle w:val="Alinia6"/>
        <w:rPr>
          <w:b/>
          <w:lang w:val="pl-PL"/>
        </w:rPr>
      </w:pP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  <w:r w:rsidRPr="00EF74DA">
        <w:rPr>
          <w:rFonts w:ascii="Verdana" w:hAnsi="Verdana"/>
          <w:b/>
          <w:sz w:val="24"/>
          <w:szCs w:val="24"/>
          <w:lang w:val="pl-PL"/>
        </w:rPr>
        <w:lastRenderedPageBreak/>
        <w:t>Toekomst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b/>
          <w:lang w:val="pl-PL"/>
        </w:rPr>
      </w:pPr>
      <w:r w:rsidRPr="00EF74DA">
        <w:rPr>
          <w:b/>
          <w:lang w:val="pl-PL"/>
        </w:rPr>
        <w:t>Białystok - Lublin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Inmiddels zijn milieubesluiten genomen voor enkele delen van de S19 tussen de A2 en Lublin, maar dit deel heeft geen hoge prioriteit vanwege de lage verkeersintensiteiten. 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b/>
          <w:lang w:val="pl-PL"/>
        </w:rPr>
      </w:pPr>
      <w:r w:rsidRPr="00EF74DA">
        <w:rPr>
          <w:b/>
          <w:lang w:val="pl-PL"/>
        </w:rPr>
        <w:t>Lublin - Rzeszów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aanleg van de S19 tussen Lublin en Rzeszów heeft een hoge prioriteit, aangezien dit ook de verbinding vanaf Warszawa naar zuidoost-Polen is.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Enkele bypasses op de route zijn al voorbereid op een latere uitbouw tot S19. 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bouwvergunning voor de westelijke ring van Lublin is op 12 mei 2014 afgegeven, en de contracten voor dit 9,8 kilometer lange deel werden op 29 oktober 2014 getekend.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Dit deel moet in november 2016 gereed zijn. 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>Op 5 juni 2014 werden de contracten getekend voor de aanleg van 12,5 kilometer S19 tussen Sokołów Małopolski-północ en Stobierna.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De daadwerkelijke aanleg begon in juli 2015.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Dit deel moet in juni 2017 gereed zijn. 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lang w:val="pl-PL"/>
        </w:rPr>
      </w:pPr>
      <w:r w:rsidRPr="00EF74DA">
        <w:rPr>
          <w:b/>
          <w:lang w:val="pl-PL"/>
        </w:rPr>
        <w:t>Rzeszów</w:t>
      </w:r>
    </w:p>
    <w:p w:rsidR="00740F1B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Op 9 april 2014 werden contracten getekend voor de aanleg van 6,3 kilometer 2x2 S19 tussen Świlcza en Rzeszów-południe. 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 xml:space="preserve">Dit deel moet in 34 maanden voltooid zijn, dus in februari 2017. </w:t>
      </w:r>
    </w:p>
    <w:p w:rsidR="00532A3E" w:rsidRPr="00EF74DA" w:rsidRDefault="00532A3E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532A3E" w:rsidRPr="00EF74DA" w:rsidRDefault="00532A3E" w:rsidP="00740F1B">
      <w:pPr>
        <w:pStyle w:val="Alinia6"/>
        <w:rPr>
          <w:b/>
          <w:lang w:val="pl-PL"/>
        </w:rPr>
      </w:pPr>
      <w:r w:rsidRPr="00EF74DA">
        <w:rPr>
          <w:b/>
          <w:lang w:val="pl-PL"/>
        </w:rPr>
        <w:t>Rzeszów - Slowakije</w:t>
      </w:r>
    </w:p>
    <w:p w:rsidR="00532A3E" w:rsidRPr="00EF74DA" w:rsidRDefault="00532A3E" w:rsidP="00532A3E">
      <w:pPr>
        <w:pStyle w:val="BusTic"/>
        <w:rPr>
          <w:lang w:val="pl-PL"/>
        </w:rPr>
      </w:pPr>
      <w:r w:rsidRPr="00EF74DA">
        <w:rPr>
          <w:lang w:val="pl-PL"/>
        </w:rPr>
        <w:t>Dit deel is nog in beginfase van planning en zal niet op korte termijn aangelegd worden.</w:t>
      </w:r>
    </w:p>
    <w:p w:rsidR="007A2B79" w:rsidRPr="00EF74DA" w:rsidRDefault="007A2B79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740F1B" w:rsidP="00532A3E">
      <w:pPr>
        <w:keepLines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b/>
          <w:sz w:val="24"/>
          <w:szCs w:val="24"/>
          <w:lang w:val="pl-PL"/>
        </w:rPr>
      </w:pPr>
      <w:r w:rsidRPr="00EF74DA">
        <w:rPr>
          <w:rFonts w:ascii="Verdana" w:hAnsi="Verdana"/>
          <w:b/>
          <w:sz w:val="24"/>
          <w:szCs w:val="24"/>
          <w:lang w:val="pl-PL"/>
        </w:rPr>
        <w:t>Begin</w:t>
      </w:r>
      <w:r w:rsidRPr="00EF74DA">
        <w:rPr>
          <w:rFonts w:ascii="Verdana" w:hAnsi="Verdana"/>
          <w:b/>
          <w:sz w:val="24"/>
          <w:szCs w:val="24"/>
          <w:lang w:val="pl-PL"/>
        </w:rPr>
        <w:tab/>
        <w:t>Kuźnica Białostocka (PL-BY)</w:t>
      </w: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b/>
          <w:sz w:val="24"/>
          <w:szCs w:val="24"/>
          <w:lang w:val="pl-PL"/>
        </w:rPr>
      </w:pPr>
      <w:r w:rsidRPr="00EF74DA">
        <w:rPr>
          <w:rFonts w:ascii="Verdana" w:hAnsi="Verdana"/>
          <w:b/>
          <w:sz w:val="24"/>
          <w:szCs w:val="24"/>
          <w:lang w:val="pl-PL"/>
        </w:rPr>
        <w:t>Einde</w:t>
      </w:r>
      <w:r w:rsidRPr="00EF74DA">
        <w:rPr>
          <w:rFonts w:ascii="Verdana" w:hAnsi="Verdana"/>
          <w:b/>
          <w:sz w:val="24"/>
          <w:szCs w:val="24"/>
          <w:lang w:val="pl-PL"/>
        </w:rPr>
        <w:tab/>
        <w:t>Barwinek (PL-SK)</w:t>
      </w: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b/>
          <w:sz w:val="24"/>
          <w:szCs w:val="24"/>
          <w:lang w:val="pl-PL"/>
        </w:rPr>
      </w:pPr>
      <w:r w:rsidRPr="00EF74DA">
        <w:rPr>
          <w:rFonts w:ascii="Verdana" w:hAnsi="Verdana"/>
          <w:b/>
          <w:sz w:val="24"/>
          <w:szCs w:val="24"/>
          <w:lang w:val="pl-PL"/>
        </w:rPr>
        <w:t>Lengte</w:t>
      </w:r>
      <w:r w:rsidRPr="00EF74DA">
        <w:rPr>
          <w:rFonts w:ascii="Verdana" w:hAnsi="Verdana"/>
          <w:b/>
          <w:sz w:val="24"/>
          <w:szCs w:val="24"/>
          <w:lang w:val="pl-PL"/>
        </w:rPr>
        <w:tab/>
        <w:t>570 km</w:t>
      </w: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b/>
          <w:sz w:val="24"/>
          <w:szCs w:val="24"/>
          <w:lang w:val="pl-PL"/>
        </w:rPr>
      </w:pP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sz w:val="24"/>
          <w:szCs w:val="24"/>
          <w:lang w:val="pl-PL"/>
        </w:rPr>
      </w:pPr>
    </w:p>
    <w:p w:rsidR="00740F1B" w:rsidRPr="00EF74DA" w:rsidRDefault="00740F1B" w:rsidP="00740F1B">
      <w:pPr>
        <w:keepLines/>
        <w:spacing w:before="120" w:after="120"/>
        <w:rPr>
          <w:rFonts w:ascii="Verdana" w:hAnsi="Verdana"/>
          <w:sz w:val="24"/>
          <w:szCs w:val="24"/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123C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lastRenderedPageBreak/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 </w:t>
            </w:r>
            <w:r w:rsidR="00252B65" w:rsidRPr="00EF74DA">
              <w:rPr>
                <w:rStyle w:val="AutoRood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3506CA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740F1B" w:rsidRPr="00EF74DA" w:rsidRDefault="00740F1B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2" name="Afbeelding 2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Międzyrzec Podlaski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Kock  </w:t>
            </w:r>
            <w:r w:rsidR="00252B65" w:rsidRPr="00EF74DA">
              <w:rPr>
                <w:rStyle w:val="AutoRood"/>
                <w:lang w:val="pl-PL"/>
              </w:rPr>
              <w:t>48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Bykowszczyna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Lublin-Rudnik  </w:t>
            </w:r>
            <w:r w:rsidR="00252B65" w:rsidRPr="00EF74DA">
              <w:rPr>
                <w:rStyle w:val="AutoRood"/>
                <w:lang w:val="pl-PL"/>
              </w:rPr>
              <w:t>S12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 </w:t>
            </w:r>
            <w:r w:rsidR="00252B65" w:rsidRPr="00EF74DA">
              <w:rPr>
                <w:rStyle w:val="AutoRood"/>
                <w:lang w:val="pl-PL"/>
              </w:rPr>
              <w:t>S17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252B65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48089BD1" wp14:editId="0D4E7C32">
                  <wp:extent cx="190500" cy="144780"/>
                  <wp:effectExtent l="0" t="0" r="0" b="7620"/>
                  <wp:docPr id="24" name="Afbeelding 24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Lublin-Czechów</w:t>
            </w:r>
          </w:p>
        </w:tc>
        <w:tc>
          <w:tcPr>
            <w:tcW w:w="850" w:type="dxa"/>
            <w:vAlign w:val="center"/>
          </w:tcPr>
          <w:p w:rsidR="00252B65" w:rsidRPr="00EF74DA" w:rsidRDefault="00252B65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252B65" w:rsidRPr="00EF74DA" w:rsidRDefault="00252B65" w:rsidP="005F0413">
      <w:pPr>
        <w:pStyle w:val="Alinia0"/>
        <w:rPr>
          <w:lang w:val="pl-PL"/>
        </w:rPr>
      </w:pPr>
    </w:p>
    <w:tbl>
      <w:tblPr>
        <w:tblStyle w:val="Tabelraster"/>
        <w:tblW w:w="463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814"/>
        <w:gridCol w:w="3286"/>
        <w:gridCol w:w="814"/>
      </w:tblGrid>
      <w:tr w:rsidR="00252B65" w:rsidRPr="00EF74DA" w:rsidTr="00252B65">
        <w:trPr>
          <w:trHeight w:val="254"/>
        </w:trPr>
        <w:tc>
          <w:tcPr>
            <w:tcW w:w="2401" w:type="pct"/>
            <w:vMerge w:val="restart"/>
            <w:shd w:val="clear" w:color="auto" w:fill="F2F2F2" w:themeFill="background1" w:themeFillShade="F2"/>
            <w:vAlign w:val="center"/>
          </w:tcPr>
          <w:p w:rsidR="005F0413" w:rsidRPr="00EF74DA" w:rsidRDefault="005F0413" w:rsidP="00B01F8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Verdana" w:hAnsi="Verdana"/>
                <w:noProof/>
                <w:lang w:val="nl-NL"/>
              </w:rPr>
              <w:drawing>
                <wp:inline distT="0" distB="0" distL="0" distR="0" wp14:anchorId="2C2B2FB2" wp14:editId="0FD19D11">
                  <wp:extent cx="354654" cy="266700"/>
                  <wp:effectExtent l="0" t="0" r="7620" b="0"/>
                  <wp:docPr id="20" name="Afbeelding 20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F74DA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044B5CF2" wp14:editId="5A3964AA">
                  <wp:extent cx="190500" cy="144780"/>
                  <wp:effectExtent l="0" t="0" r="0" b="7620"/>
                  <wp:docPr id="64" name="Afbeelding 64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F74DA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>Węzeł Lublin-Sławinek</w:t>
            </w:r>
          </w:p>
        </w:tc>
        <w:tc>
          <w:tcPr>
            <w:tcW w:w="428" w:type="pct"/>
            <w:vMerge w:val="restart"/>
            <w:vAlign w:val="center"/>
          </w:tcPr>
          <w:p w:rsidR="005F0413" w:rsidRPr="00EF74DA" w:rsidRDefault="00252B65" w:rsidP="00D11221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S12</w:t>
            </w:r>
          </w:p>
          <w:p w:rsidR="00252B65" w:rsidRPr="00EF74DA" w:rsidRDefault="00252B65" w:rsidP="00D11221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S17</w:t>
            </w:r>
          </w:p>
        </w:tc>
        <w:tc>
          <w:tcPr>
            <w:tcW w:w="1741" w:type="pct"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431" w:type="pct"/>
            <w:vMerge w:val="restart"/>
            <w:vAlign w:val="center"/>
          </w:tcPr>
          <w:p w:rsidR="005F0413" w:rsidRPr="00EF74DA" w:rsidRDefault="005F0413" w:rsidP="00D11221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  <w:tr w:rsidR="00252B65" w:rsidRPr="00EF74DA" w:rsidTr="00252B65">
        <w:trPr>
          <w:trHeight w:val="254"/>
        </w:trPr>
        <w:tc>
          <w:tcPr>
            <w:tcW w:w="2401" w:type="pct"/>
            <w:vMerge/>
            <w:shd w:val="clear" w:color="auto" w:fill="F2F2F2" w:themeFill="background1" w:themeFillShade="F2"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428" w:type="pct"/>
            <w:vMerge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41" w:type="pct"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431" w:type="pct"/>
            <w:vMerge/>
            <w:vAlign w:val="center"/>
          </w:tcPr>
          <w:p w:rsidR="005F0413" w:rsidRPr="00EF74DA" w:rsidRDefault="005F0413" w:rsidP="003506C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  <w:r w:rsidRPr="00EF74DA">
        <w:rPr>
          <w:lang w:val="pl-PL"/>
        </w:rPr>
        <w:t xml:space="preserve"> 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184785" cy="173990"/>
                  <wp:effectExtent l="0" t="0" r="5715" b="0"/>
                  <wp:docPr id="26" name="Afbeelding 26" descr="Werkzaamheden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rkzaamheden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Lublin-Szerokie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184785" cy="173990"/>
                  <wp:effectExtent l="0" t="0" r="5715" b="0"/>
                  <wp:docPr id="27" name="Afbeelding 27" descr="Werkzaamheden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rkzaamheden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Lublin-Węglin  </w:t>
            </w:r>
            <w:r w:rsidR="00252B65" w:rsidRPr="00EF74DA">
              <w:rPr>
                <w:rStyle w:val="AutoRood"/>
                <w:lang w:val="pl-PL"/>
              </w:rPr>
              <w:t>19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184785" cy="173990"/>
                  <wp:effectExtent l="0" t="0" r="5715" b="0"/>
                  <wp:docPr id="28" name="Afbeelding 28" descr="Werkzaamheden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rkzaamheden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Sokołów Małopolski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9" name="Afbeelding 9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Jasionka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98"/>
        <w:gridCol w:w="800"/>
        <w:gridCol w:w="3386"/>
        <w:gridCol w:w="814"/>
      </w:tblGrid>
      <w:tr w:rsidR="00EF74DA" w:rsidRPr="00EF74DA" w:rsidTr="00EF74DA">
        <w:trPr>
          <w:trHeight w:val="254"/>
        </w:trPr>
        <w:tc>
          <w:tcPr>
            <w:tcW w:w="2549" w:type="pct"/>
            <w:vMerge w:val="restart"/>
            <w:shd w:val="clear" w:color="auto" w:fill="F2F2F2" w:themeFill="background1" w:themeFillShade="F2"/>
            <w:vAlign w:val="center"/>
          </w:tcPr>
          <w:p w:rsidR="005F0413" w:rsidRPr="00EF74DA" w:rsidRDefault="005F0413" w:rsidP="005F04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Verdana" w:hAnsi="Verdana"/>
                <w:noProof/>
                <w:lang w:val="nl-NL"/>
              </w:rPr>
              <w:drawing>
                <wp:inline distT="0" distB="0" distL="0" distR="0" wp14:anchorId="3A63F7D2" wp14:editId="28270C02">
                  <wp:extent cx="354654" cy="266700"/>
                  <wp:effectExtent l="0" t="0" r="7620" b="0"/>
                  <wp:docPr id="21" name="Afbeelding 21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F74DA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7D045E99" wp14:editId="2BAE046D">
                  <wp:extent cx="190500" cy="144780"/>
                  <wp:effectExtent l="0" t="0" r="0" b="7620"/>
                  <wp:docPr id="22" name="Afbeelding 22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F74DA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>Węzeł Rzeszów-Wschód</w:t>
            </w:r>
          </w:p>
        </w:tc>
        <w:tc>
          <w:tcPr>
            <w:tcW w:w="392" w:type="pct"/>
            <w:vMerge w:val="restart"/>
            <w:vAlign w:val="center"/>
          </w:tcPr>
          <w:p w:rsidR="005F0413" w:rsidRPr="00EF74DA" w:rsidRDefault="00252B65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A4</w:t>
            </w:r>
          </w:p>
          <w:p w:rsidR="00252B65" w:rsidRPr="00EF74DA" w:rsidRDefault="00252B65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97</w:t>
            </w:r>
          </w:p>
        </w:tc>
        <w:tc>
          <w:tcPr>
            <w:tcW w:w="1660" w:type="pct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9" w:type="pct"/>
            <w:vMerge w:val="restart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  <w:tr w:rsidR="00EF74DA" w:rsidRPr="00EF74DA" w:rsidTr="00EF74DA">
        <w:trPr>
          <w:trHeight w:val="254"/>
        </w:trPr>
        <w:tc>
          <w:tcPr>
            <w:tcW w:w="2549" w:type="pct"/>
            <w:vMerge/>
            <w:shd w:val="clear" w:color="auto" w:fill="F2F2F2" w:themeFill="background1" w:themeFillShade="F2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2" w:type="pct"/>
            <w:vMerge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660" w:type="pct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9" w:type="pct"/>
            <w:vMerge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Rzeszów-Północ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1"/>
        <w:gridCol w:w="794"/>
        <w:gridCol w:w="4069"/>
        <w:gridCol w:w="814"/>
      </w:tblGrid>
      <w:tr w:rsidR="00EF74DA" w:rsidRPr="00EF74DA" w:rsidTr="00EF74DA">
        <w:trPr>
          <w:trHeight w:val="254"/>
        </w:trPr>
        <w:tc>
          <w:tcPr>
            <w:tcW w:w="2216" w:type="pct"/>
            <w:vMerge w:val="restart"/>
            <w:shd w:val="clear" w:color="auto" w:fill="F2F2F2" w:themeFill="background1" w:themeFillShade="F2"/>
            <w:vAlign w:val="center"/>
          </w:tcPr>
          <w:p w:rsidR="00252B65" w:rsidRPr="00EF74DA" w:rsidRDefault="00252B65" w:rsidP="00252B6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Verdana" w:hAnsi="Verdana"/>
                <w:noProof/>
                <w:lang w:val="nl-NL"/>
              </w:rPr>
              <w:drawing>
                <wp:inline distT="0" distB="0" distL="0" distR="0" wp14:anchorId="62D6801C" wp14:editId="59FDA077">
                  <wp:extent cx="354654" cy="266700"/>
                  <wp:effectExtent l="0" t="0" r="7620" b="0"/>
                  <wp:docPr id="30" name="Afbeelding 30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F74DA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7201DD74" wp14:editId="4C999E61">
                  <wp:extent cx="190500" cy="144780"/>
                  <wp:effectExtent l="0" t="0" r="0" b="7620"/>
                  <wp:docPr id="31" name="Afbeelding 31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Węzeł Rzeszów-Zachód</w:t>
            </w:r>
          </w:p>
        </w:tc>
        <w:tc>
          <w:tcPr>
            <w:tcW w:w="389" w:type="pct"/>
            <w:vMerge w:val="restart"/>
            <w:vAlign w:val="center"/>
          </w:tcPr>
          <w:p w:rsidR="00252B65" w:rsidRPr="00EF74DA" w:rsidRDefault="00252B65" w:rsidP="00EF74DA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A4</w:t>
            </w:r>
          </w:p>
        </w:tc>
        <w:tc>
          <w:tcPr>
            <w:tcW w:w="1995" w:type="pct"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9" w:type="pct"/>
            <w:vMerge w:val="restart"/>
            <w:vAlign w:val="center"/>
          </w:tcPr>
          <w:p w:rsidR="00252B65" w:rsidRPr="00EF74DA" w:rsidRDefault="00252B65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  <w:tr w:rsidR="00EF74DA" w:rsidRPr="00EF74DA" w:rsidTr="00EF74DA">
        <w:trPr>
          <w:trHeight w:val="254"/>
        </w:trPr>
        <w:tc>
          <w:tcPr>
            <w:tcW w:w="2216" w:type="pct"/>
            <w:vMerge/>
            <w:shd w:val="clear" w:color="auto" w:fill="F2F2F2" w:themeFill="background1" w:themeFillShade="F2"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89" w:type="pct"/>
            <w:vMerge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95" w:type="pct"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EF74DA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9" w:type="pct"/>
            <w:vMerge/>
            <w:vAlign w:val="center"/>
          </w:tcPr>
          <w:p w:rsidR="00252B65" w:rsidRPr="00EF74DA" w:rsidRDefault="00252B65" w:rsidP="00AC717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252B65" w:rsidRPr="00EF74DA" w:rsidRDefault="00252B65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11" name="Afbeelding 11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Świlcza  </w:t>
            </w:r>
            <w:r w:rsidR="00252B65" w:rsidRPr="00EF74DA">
              <w:rPr>
                <w:rStyle w:val="AutoRood"/>
                <w:lang w:val="pl-PL"/>
              </w:rPr>
              <w:t>94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5F0413" w:rsidRPr="00EF74DA" w:rsidRDefault="005F0413" w:rsidP="005F0413">
      <w:pPr>
        <w:pStyle w:val="Alinia0"/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F0413" w:rsidRPr="00EF74DA" w:rsidTr="00AC71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F0413" w:rsidRPr="00EF74DA" w:rsidRDefault="005F0413" w:rsidP="00AC7177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EF74DA">
              <w:rPr>
                <w:noProof/>
                <w:color w:val="0000FF"/>
                <w:lang w:val="nl-NL"/>
              </w:rPr>
              <w:drawing>
                <wp:inline distT="0" distB="0" distL="0" distR="0" wp14:anchorId="69017470" wp14:editId="77DCE9F7">
                  <wp:extent cx="190500" cy="144780"/>
                  <wp:effectExtent l="0" t="0" r="0" b="7620"/>
                  <wp:docPr id="12" name="Afbeelding 12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184785" cy="173990"/>
                  <wp:effectExtent l="0" t="0" r="5715" b="0"/>
                  <wp:docPr id="29" name="Afbeelding 29" descr="Werkzaamheden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rkzaamheden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4DA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252B65" w:rsidRPr="00EF74DA">
              <w:rPr>
                <w:rFonts w:ascii="Verdana" w:hAnsi="Verdana"/>
                <w:b/>
                <w:sz w:val="24"/>
                <w:szCs w:val="24"/>
                <w:lang w:val="pl-PL"/>
              </w:rPr>
              <w:t>Rzeszów-południe</w:t>
            </w:r>
          </w:p>
        </w:tc>
        <w:tc>
          <w:tcPr>
            <w:tcW w:w="850" w:type="dxa"/>
            <w:vAlign w:val="center"/>
          </w:tcPr>
          <w:p w:rsidR="005F0413" w:rsidRPr="00EF74DA" w:rsidRDefault="005F0413" w:rsidP="00AC7177">
            <w:pPr>
              <w:jc w:val="center"/>
              <w:rPr>
                <w:rStyle w:val="AutoRood"/>
                <w:lang w:val="pl-PL"/>
              </w:rPr>
            </w:pPr>
            <w:r w:rsidRPr="00EF74DA">
              <w:rPr>
                <w:rStyle w:val="AutoRood"/>
                <w:lang w:val="pl-PL"/>
              </w:rPr>
              <w:t>S19</w:t>
            </w:r>
          </w:p>
        </w:tc>
      </w:tr>
    </w:tbl>
    <w:p w:rsidR="00740F1B" w:rsidRDefault="00740F1B" w:rsidP="00740F1B">
      <w:pPr>
        <w:keepLines/>
        <w:spacing w:before="120" w:after="120"/>
        <w:rPr>
          <w:rFonts w:ascii="Verdana" w:hAnsi="Verdana"/>
          <w:b/>
          <w:sz w:val="24"/>
          <w:szCs w:val="24"/>
          <w:lang w:val="pl-PL"/>
        </w:rPr>
      </w:pPr>
    </w:p>
    <w:p w:rsidR="0058595C" w:rsidRPr="00EF74DA" w:rsidRDefault="0058595C" w:rsidP="00532A3E">
      <w:pPr>
        <w:pStyle w:val="Alinia0"/>
        <w:spacing w:before="120" w:after="120"/>
        <w:rPr>
          <w:b w:val="0"/>
          <w:szCs w:val="24"/>
          <w:lang w:val="pl-PL"/>
        </w:rPr>
      </w:pPr>
    </w:p>
    <w:sectPr w:rsidR="0058595C" w:rsidRPr="00EF74DA" w:rsidSect="00812010">
      <w:headerReference w:type="default" r:id="rId13"/>
      <w:footerReference w:type="default" r:id="rId14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C" w:rsidRDefault="00FE693C" w:rsidP="007A2B79">
      <w:r>
        <w:separator/>
      </w:r>
    </w:p>
  </w:endnote>
  <w:endnote w:type="continuationSeparator" w:id="0">
    <w:p w:rsidR="00FE693C" w:rsidRDefault="00FE693C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C16F30" w:rsidRPr="00C16F30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C" w:rsidRDefault="00FE693C" w:rsidP="007A2B79">
      <w:r>
        <w:separator/>
      </w:r>
    </w:p>
  </w:footnote>
  <w:footnote w:type="continuationSeparator" w:id="0">
    <w:p w:rsidR="00FE693C" w:rsidRDefault="00FE693C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3B63E3" w:rsidRDefault="002221B7" w:rsidP="00C94F1D">
    <w:pPr>
      <w:pStyle w:val="Koptekst"/>
      <w:ind w:firstLine="709"/>
      <w:rPr>
        <w:rFonts w:ascii="Verdana" w:hAnsi="Verdana"/>
        <w:b/>
        <w:sz w:val="28"/>
        <w:szCs w:val="28"/>
        <w:lang w:val="nl-NL"/>
      </w:rPr>
    </w:pPr>
    <w:r w:rsidRPr="003B63E3"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053D62B4" wp14:editId="1F004FB6">
          <wp:simplePos x="0" y="0"/>
          <wp:positionH relativeFrom="column">
            <wp:posOffset>-261620</wp:posOffset>
          </wp:positionH>
          <wp:positionV relativeFrom="paragraph">
            <wp:posOffset>-226695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3E3">
      <w:rPr>
        <w:rFonts w:ascii="Verdana" w:hAnsi="Verdana"/>
        <w:b/>
        <w:sz w:val="28"/>
        <w:szCs w:val="28"/>
        <w:lang w:val="nl-NL"/>
      </w:rPr>
      <w:t xml:space="preserve">Autosnelwegen </w:t>
    </w:r>
    <w:r w:rsidR="00FD2CFB">
      <w:rPr>
        <w:rFonts w:ascii="Verdana" w:hAnsi="Verdana"/>
        <w:b/>
        <w:sz w:val="28"/>
        <w:szCs w:val="28"/>
        <w:lang w:val="nl-NL"/>
      </w:rPr>
      <w:t>Polen</w:t>
    </w:r>
    <w:r w:rsidR="005A0357" w:rsidRPr="003B63E3">
      <w:rPr>
        <w:rFonts w:ascii="Comic Sans MS" w:hAnsi="Comic Sans MS"/>
        <w:b/>
        <w:noProof/>
        <w:color w:val="0000FF"/>
        <w:sz w:val="28"/>
        <w:szCs w:val="28"/>
        <w:lang w:val="nl-NL" w:eastAsia="zh-CN"/>
      </w:rPr>
      <w:t xml:space="preserve"> </w:t>
    </w:r>
    <w:r w:rsidR="007C2E5D">
      <w:rPr>
        <w:rStyle w:val="Autobaan"/>
        <w:sz w:val="32"/>
        <w:szCs w:val="32"/>
        <w:shd w:val="clear" w:color="auto" w:fill="FF0000"/>
        <w:lang w:val="nl-NL"/>
      </w:rPr>
      <w:t>S</w:t>
    </w:r>
    <w:r w:rsidR="00532A3E">
      <w:rPr>
        <w:rStyle w:val="Autobaan"/>
        <w:sz w:val="32"/>
        <w:szCs w:val="32"/>
        <w:shd w:val="clear" w:color="auto" w:fill="FF0000"/>
        <w:lang w:val="nl-NL"/>
      </w:rPr>
      <w:t>19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23084A56"/>
    <w:lvl w:ilvl="0" w:tplc="30F8E09A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7952"/>
    <w:rsid w:val="00077BC5"/>
    <w:rsid w:val="0008766A"/>
    <w:rsid w:val="000A0737"/>
    <w:rsid w:val="000A5975"/>
    <w:rsid w:val="000B35DC"/>
    <w:rsid w:val="000B3992"/>
    <w:rsid w:val="000B3F02"/>
    <w:rsid w:val="000C322C"/>
    <w:rsid w:val="000D0A8B"/>
    <w:rsid w:val="000E4D84"/>
    <w:rsid w:val="000F3B57"/>
    <w:rsid w:val="000F4F6B"/>
    <w:rsid w:val="00120DD2"/>
    <w:rsid w:val="001277B2"/>
    <w:rsid w:val="00184F86"/>
    <w:rsid w:val="001851FC"/>
    <w:rsid w:val="001B0768"/>
    <w:rsid w:val="001C433C"/>
    <w:rsid w:val="001D64BE"/>
    <w:rsid w:val="0021453E"/>
    <w:rsid w:val="002221B7"/>
    <w:rsid w:val="00244E8B"/>
    <w:rsid w:val="00252B65"/>
    <w:rsid w:val="002750CB"/>
    <w:rsid w:val="00275D6D"/>
    <w:rsid w:val="002A65F5"/>
    <w:rsid w:val="002B29A5"/>
    <w:rsid w:val="002F6A8B"/>
    <w:rsid w:val="00330EC1"/>
    <w:rsid w:val="00340709"/>
    <w:rsid w:val="00343FFB"/>
    <w:rsid w:val="00375508"/>
    <w:rsid w:val="003B5097"/>
    <w:rsid w:val="003B63E3"/>
    <w:rsid w:val="003B734B"/>
    <w:rsid w:val="003F2144"/>
    <w:rsid w:val="00442004"/>
    <w:rsid w:val="004435A4"/>
    <w:rsid w:val="00445709"/>
    <w:rsid w:val="004B0A15"/>
    <w:rsid w:val="004F49EB"/>
    <w:rsid w:val="00522CF5"/>
    <w:rsid w:val="00532A3E"/>
    <w:rsid w:val="00546D48"/>
    <w:rsid w:val="00553B72"/>
    <w:rsid w:val="0058595C"/>
    <w:rsid w:val="00592944"/>
    <w:rsid w:val="005A0357"/>
    <w:rsid w:val="005A5431"/>
    <w:rsid w:val="005D0E3B"/>
    <w:rsid w:val="005F0413"/>
    <w:rsid w:val="005F7DB2"/>
    <w:rsid w:val="00613826"/>
    <w:rsid w:val="006226E1"/>
    <w:rsid w:val="00630A26"/>
    <w:rsid w:val="006453EC"/>
    <w:rsid w:val="00651599"/>
    <w:rsid w:val="00653D2E"/>
    <w:rsid w:val="00667A41"/>
    <w:rsid w:val="00671162"/>
    <w:rsid w:val="00687CFF"/>
    <w:rsid w:val="00690DC7"/>
    <w:rsid w:val="00695640"/>
    <w:rsid w:val="0069785C"/>
    <w:rsid w:val="006A4E41"/>
    <w:rsid w:val="006B0288"/>
    <w:rsid w:val="006B6011"/>
    <w:rsid w:val="006C1401"/>
    <w:rsid w:val="006C351C"/>
    <w:rsid w:val="006C3B72"/>
    <w:rsid w:val="0070309B"/>
    <w:rsid w:val="00703132"/>
    <w:rsid w:val="007104BE"/>
    <w:rsid w:val="00721C4D"/>
    <w:rsid w:val="00732328"/>
    <w:rsid w:val="00740F1B"/>
    <w:rsid w:val="00742850"/>
    <w:rsid w:val="00762F5A"/>
    <w:rsid w:val="007854B0"/>
    <w:rsid w:val="007871FC"/>
    <w:rsid w:val="007A2B79"/>
    <w:rsid w:val="007C2E5D"/>
    <w:rsid w:val="007C5E0F"/>
    <w:rsid w:val="007E779C"/>
    <w:rsid w:val="00812010"/>
    <w:rsid w:val="0083246E"/>
    <w:rsid w:val="0085661F"/>
    <w:rsid w:val="00861890"/>
    <w:rsid w:val="00862C18"/>
    <w:rsid w:val="00867836"/>
    <w:rsid w:val="00874E8D"/>
    <w:rsid w:val="008D0BAE"/>
    <w:rsid w:val="008F5955"/>
    <w:rsid w:val="00947BDD"/>
    <w:rsid w:val="009D2624"/>
    <w:rsid w:val="009F1975"/>
    <w:rsid w:val="00A34924"/>
    <w:rsid w:val="00A63239"/>
    <w:rsid w:val="00A63BD1"/>
    <w:rsid w:val="00A644E1"/>
    <w:rsid w:val="00A73BC5"/>
    <w:rsid w:val="00A8267D"/>
    <w:rsid w:val="00AA7E3C"/>
    <w:rsid w:val="00AB30AB"/>
    <w:rsid w:val="00AD1C0A"/>
    <w:rsid w:val="00AD662A"/>
    <w:rsid w:val="00B17680"/>
    <w:rsid w:val="00B36593"/>
    <w:rsid w:val="00B6539F"/>
    <w:rsid w:val="00B722F8"/>
    <w:rsid w:val="00B72E4C"/>
    <w:rsid w:val="00B76B49"/>
    <w:rsid w:val="00B96D71"/>
    <w:rsid w:val="00BC7C6A"/>
    <w:rsid w:val="00BD0AC1"/>
    <w:rsid w:val="00BD1A05"/>
    <w:rsid w:val="00BF56E5"/>
    <w:rsid w:val="00C075CE"/>
    <w:rsid w:val="00C16F30"/>
    <w:rsid w:val="00C45593"/>
    <w:rsid w:val="00C552D4"/>
    <w:rsid w:val="00C56E7A"/>
    <w:rsid w:val="00C65AE8"/>
    <w:rsid w:val="00C75D61"/>
    <w:rsid w:val="00C94F1D"/>
    <w:rsid w:val="00CA408D"/>
    <w:rsid w:val="00CB7D9C"/>
    <w:rsid w:val="00D01349"/>
    <w:rsid w:val="00D13D40"/>
    <w:rsid w:val="00D21D4C"/>
    <w:rsid w:val="00D26096"/>
    <w:rsid w:val="00D51E15"/>
    <w:rsid w:val="00D87BED"/>
    <w:rsid w:val="00D963B6"/>
    <w:rsid w:val="00DA173F"/>
    <w:rsid w:val="00DC16E0"/>
    <w:rsid w:val="00DD7C77"/>
    <w:rsid w:val="00DE3CD7"/>
    <w:rsid w:val="00DE5E63"/>
    <w:rsid w:val="00DE7B70"/>
    <w:rsid w:val="00E0436C"/>
    <w:rsid w:val="00E632BB"/>
    <w:rsid w:val="00E760C6"/>
    <w:rsid w:val="00E81BFD"/>
    <w:rsid w:val="00E83D9B"/>
    <w:rsid w:val="00E9132D"/>
    <w:rsid w:val="00E91C51"/>
    <w:rsid w:val="00E934C7"/>
    <w:rsid w:val="00EA42F3"/>
    <w:rsid w:val="00ED0E92"/>
    <w:rsid w:val="00EE315B"/>
    <w:rsid w:val="00EF74DA"/>
    <w:rsid w:val="00F14055"/>
    <w:rsid w:val="00F35C87"/>
    <w:rsid w:val="00F53BCF"/>
    <w:rsid w:val="00F5666A"/>
    <w:rsid w:val="00F73821"/>
    <w:rsid w:val="00F84C48"/>
    <w:rsid w:val="00F95BA8"/>
    <w:rsid w:val="00FB6731"/>
    <w:rsid w:val="00FD2CFB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DDEBE-2E89-4233-B1DB-5DECD08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85661F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532A3E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532A3E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C94F1D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Rood">
    <w:name w:val="Auto Rood"/>
    <w:basedOn w:val="Standaardalinea-lettertype"/>
    <w:uiPriority w:val="1"/>
    <w:qFormat/>
    <w:rsid w:val="005F0413"/>
    <w:rPr>
      <w:rFonts w:ascii="Verdana" w:hAnsi="Verdana"/>
      <w:b/>
      <w:color w:val="FFFFFF" w:themeColor="background1"/>
      <w:sz w:val="28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enwiki.nl/Bestand:Afslagsymbool.sv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genwiki.nl/Bestand:Werkzaamheden.sv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/>
  <dc:creator>Van het Internet</dc:creator>
  <cp:lastModifiedBy>Enne Berends</cp:lastModifiedBy>
  <cp:revision>2</cp:revision>
  <cp:lastPrinted>2011-10-21T09:12:00Z</cp:lastPrinted>
  <dcterms:created xsi:type="dcterms:W3CDTF">2015-12-04T14:51:00Z</dcterms:created>
  <dcterms:modified xsi:type="dcterms:W3CDTF">2015-12-04T14:51:00Z</dcterms:modified>
  <cp:category>2012</cp:category>
</cp:coreProperties>
</file>